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553B" w14:textId="1A56D8E5" w:rsidR="00395B91" w:rsidRDefault="00602F68" w:rsidP="00B60967">
      <w:pPr>
        <w:pStyle w:val="Title"/>
        <w:numPr>
          <w:ilvl w:val="0"/>
          <w:numId w:val="0"/>
        </w:numPr>
      </w:pPr>
      <w:r>
        <w:t>ORGANIZATIONAL EVALUATION – SITE VISIT TEAM REPORT TEMPLATE</w:t>
      </w:r>
    </w:p>
    <w:tbl>
      <w:tblPr>
        <w:tblStyle w:val="GridTable4-Accent1"/>
        <w:tblW w:w="5000" w:type="pct"/>
        <w:tblLook w:val="04A0" w:firstRow="1" w:lastRow="0" w:firstColumn="1" w:lastColumn="0" w:noHBand="0" w:noVBand="1"/>
      </w:tblPr>
      <w:tblGrid>
        <w:gridCol w:w="5035"/>
        <w:gridCol w:w="5035"/>
      </w:tblGrid>
      <w:tr w:rsidR="007F3D9E" w:rsidRPr="006E21E4" w14:paraId="53B05FBC" w14:textId="77777777" w:rsidTr="00237F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005072"/>
          </w:tcPr>
          <w:p w14:paraId="2C1BA247" w14:textId="77777777" w:rsidR="007F3D9E" w:rsidRPr="00347592" w:rsidRDefault="007F3D9E" w:rsidP="007D5177">
            <w:pPr>
              <w:contextualSpacing/>
              <w:rPr>
                <w:rFonts w:ascii="Aptos" w:hAnsi="Aptos"/>
                <w:sz w:val="26"/>
                <w:szCs w:val="26"/>
              </w:rPr>
            </w:pPr>
            <w:r>
              <w:rPr>
                <w:rFonts w:ascii="Aptos" w:hAnsi="Aptos"/>
                <w:sz w:val="26"/>
                <w:szCs w:val="26"/>
              </w:rPr>
              <w:t>Organization</w:t>
            </w:r>
          </w:p>
        </w:tc>
        <w:tc>
          <w:tcPr>
            <w:tcW w:w="4675" w:type="dxa"/>
            <w:shd w:val="clear" w:color="auto" w:fill="005072"/>
          </w:tcPr>
          <w:p w14:paraId="3B2D4B59" w14:textId="77777777" w:rsidR="007F3D9E" w:rsidRPr="00347592" w:rsidRDefault="007F3D9E" w:rsidP="007D5177">
            <w:pPr>
              <w:contextualSpacing/>
              <w:cnfStyle w:val="100000000000" w:firstRow="1" w:lastRow="0" w:firstColumn="0" w:lastColumn="0" w:oddVBand="0" w:evenVBand="0" w:oddHBand="0" w:evenHBand="0" w:firstRowFirstColumn="0" w:firstRowLastColumn="0" w:lastRowFirstColumn="0" w:lastRowLastColumn="0"/>
              <w:rPr>
                <w:rFonts w:ascii="Aptos" w:hAnsi="Aptos"/>
                <w:sz w:val="26"/>
                <w:szCs w:val="26"/>
              </w:rPr>
            </w:pPr>
            <w:r>
              <w:rPr>
                <w:rFonts w:ascii="Aptos" w:hAnsi="Aptos"/>
                <w:sz w:val="26"/>
                <w:szCs w:val="26"/>
              </w:rPr>
              <w:t>{</w:t>
            </w:r>
            <w:r w:rsidRPr="00347592">
              <w:rPr>
                <w:rFonts w:ascii="Aptos" w:hAnsi="Aptos"/>
                <w:sz w:val="26"/>
                <w:szCs w:val="26"/>
              </w:rPr>
              <w:t>NAME OF ORG</w:t>
            </w:r>
            <w:r>
              <w:rPr>
                <w:rFonts w:ascii="Aptos" w:hAnsi="Aptos"/>
                <w:sz w:val="26"/>
                <w:szCs w:val="26"/>
              </w:rPr>
              <w:t>ANIZATION}</w:t>
            </w:r>
          </w:p>
        </w:tc>
      </w:tr>
      <w:tr w:rsidR="007F3D9E" w:rsidRPr="006E21E4" w14:paraId="798B03B9" w14:textId="77777777" w:rsidTr="007F3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14:paraId="3055974C" w14:textId="77777777" w:rsidR="007F3D9E" w:rsidRPr="00347592" w:rsidRDefault="007F3D9E" w:rsidP="007D5177">
            <w:pPr>
              <w:contextualSpacing/>
              <w:rPr>
                <w:rFonts w:ascii="Aptos" w:hAnsi="Aptos"/>
                <w:sz w:val="24"/>
                <w:szCs w:val="24"/>
              </w:rPr>
            </w:pPr>
            <w:r w:rsidRPr="00347592">
              <w:rPr>
                <w:rFonts w:ascii="Aptos" w:hAnsi="Aptos"/>
                <w:sz w:val="24"/>
                <w:szCs w:val="24"/>
              </w:rPr>
              <w:t>Evaluation Team Members</w:t>
            </w:r>
          </w:p>
        </w:tc>
        <w:tc>
          <w:tcPr>
            <w:tcW w:w="4675" w:type="dxa"/>
            <w:shd w:val="clear" w:color="auto" w:fill="EAF6FC"/>
          </w:tcPr>
          <w:p w14:paraId="5E9A1CF1" w14:textId="77777777" w:rsidR="007F3D9E" w:rsidRPr="00347592" w:rsidRDefault="007F3D9E" w:rsidP="00E0086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Chair:</w:t>
            </w:r>
          </w:p>
          <w:p w14:paraId="59553DB0" w14:textId="77777777" w:rsidR="007F3D9E" w:rsidRPr="00347592" w:rsidRDefault="007F3D9E" w:rsidP="00E0086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Member:</w:t>
            </w:r>
          </w:p>
          <w:p w14:paraId="362C779C" w14:textId="77777777" w:rsidR="007F3D9E" w:rsidRPr="00347592" w:rsidRDefault="007F3D9E" w:rsidP="00E0086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Member:</w:t>
            </w:r>
          </w:p>
          <w:p w14:paraId="62F55A03" w14:textId="77777777" w:rsidR="007F3D9E" w:rsidRPr="00347592" w:rsidRDefault="007F3D9E" w:rsidP="00E0086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Member:</w:t>
            </w:r>
          </w:p>
        </w:tc>
      </w:tr>
      <w:tr w:rsidR="007F3D9E" w:rsidRPr="006E21E4" w14:paraId="6651F2F7" w14:textId="77777777" w:rsidTr="007F3D9E">
        <w:tc>
          <w:tcPr>
            <w:cnfStyle w:val="001000000000" w:firstRow="0" w:lastRow="0" w:firstColumn="1" w:lastColumn="0" w:oddVBand="0" w:evenVBand="0" w:oddHBand="0" w:evenHBand="0" w:firstRowFirstColumn="0" w:firstRowLastColumn="0" w:lastRowFirstColumn="0" w:lastRowLastColumn="0"/>
            <w:tcW w:w="4675" w:type="dxa"/>
          </w:tcPr>
          <w:p w14:paraId="651AB9DB" w14:textId="77777777" w:rsidR="007F3D9E" w:rsidRPr="00347592" w:rsidRDefault="007F3D9E" w:rsidP="007D5177">
            <w:pPr>
              <w:contextualSpacing/>
              <w:rPr>
                <w:rFonts w:ascii="Aptos" w:hAnsi="Aptos"/>
                <w:sz w:val="24"/>
                <w:szCs w:val="24"/>
              </w:rPr>
            </w:pPr>
            <w:r w:rsidRPr="00347592">
              <w:rPr>
                <w:rFonts w:ascii="Aptos" w:hAnsi="Aptos"/>
                <w:sz w:val="24"/>
                <w:szCs w:val="24"/>
              </w:rPr>
              <w:t>Date of Evaluation/Site Visit</w:t>
            </w:r>
          </w:p>
        </w:tc>
        <w:tc>
          <w:tcPr>
            <w:tcW w:w="4675" w:type="dxa"/>
          </w:tcPr>
          <w:p w14:paraId="4D58E4E5" w14:textId="77777777" w:rsidR="007F3D9E" w:rsidRPr="00347592" w:rsidRDefault="007F3D9E" w:rsidP="007D5177">
            <w:pPr>
              <w:contextualSpacing/>
              <w:cnfStyle w:val="000000000000" w:firstRow="0" w:lastRow="0" w:firstColumn="0" w:lastColumn="0" w:oddVBand="0" w:evenVBand="0" w:oddHBand="0" w:evenHBand="0" w:firstRowFirstColumn="0" w:firstRowLastColumn="0" w:lastRowFirstColumn="0" w:lastRowLastColumn="0"/>
              <w:rPr>
                <w:rFonts w:ascii="Aptos" w:hAnsi="Aptos"/>
                <w:sz w:val="24"/>
                <w:szCs w:val="24"/>
              </w:rPr>
            </w:pPr>
          </w:p>
        </w:tc>
      </w:tr>
      <w:tr w:rsidR="007F3D9E" w:rsidRPr="006E21E4" w14:paraId="659F061C" w14:textId="77777777" w:rsidTr="007F3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14:paraId="70E2DC66" w14:textId="77777777" w:rsidR="007F3D9E" w:rsidRPr="00347592" w:rsidRDefault="007F3D9E" w:rsidP="007D5177">
            <w:pPr>
              <w:contextualSpacing/>
              <w:rPr>
                <w:rFonts w:ascii="Aptos" w:hAnsi="Aptos"/>
                <w:sz w:val="24"/>
                <w:szCs w:val="24"/>
              </w:rPr>
            </w:pPr>
            <w:r w:rsidRPr="00347592">
              <w:rPr>
                <w:rFonts w:ascii="Aptos" w:hAnsi="Aptos"/>
                <w:sz w:val="24"/>
                <w:szCs w:val="24"/>
              </w:rPr>
              <w:t>Date of Report Submission to CAQC</w:t>
            </w:r>
          </w:p>
        </w:tc>
        <w:tc>
          <w:tcPr>
            <w:tcW w:w="4675" w:type="dxa"/>
            <w:shd w:val="clear" w:color="auto" w:fill="EAF6FC"/>
          </w:tcPr>
          <w:p w14:paraId="4A2E19C2" w14:textId="77777777" w:rsidR="007F3D9E" w:rsidRPr="00347592" w:rsidRDefault="007F3D9E" w:rsidP="007D5177">
            <w:pPr>
              <w:contextualSpacing/>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r>
    </w:tbl>
    <w:p w14:paraId="029BBFD9" w14:textId="77777777" w:rsidR="007F3D9E" w:rsidRPr="007F3D9E" w:rsidRDefault="007F3D9E" w:rsidP="007F3D9E"/>
    <w:p w14:paraId="600ADF57" w14:textId="77777777" w:rsidR="00D53D1E" w:rsidRPr="00631703" w:rsidRDefault="00D53D1E" w:rsidP="006734B3">
      <w:pPr>
        <w:pStyle w:val="Heading1"/>
        <w:numPr>
          <w:ilvl w:val="0"/>
          <w:numId w:val="0"/>
        </w:numPr>
        <w:ind w:left="448" w:hanging="448"/>
      </w:pPr>
      <w:r w:rsidRPr="00631703">
        <w:t xml:space="preserve">Report </w:t>
      </w:r>
      <w:r w:rsidRPr="00D53D1E">
        <w:t>Guidelines</w:t>
      </w:r>
    </w:p>
    <w:p w14:paraId="1C26EDDD" w14:textId="77777777" w:rsidR="00D53D1E" w:rsidRDefault="00D53D1E" w:rsidP="00D53D1E">
      <w:pPr>
        <w:rPr>
          <w:i/>
          <w:iCs/>
        </w:rPr>
      </w:pPr>
      <w:r w:rsidRPr="00D53D1E">
        <w:rPr>
          <w:i/>
          <w:iCs/>
        </w:rPr>
        <w:t>Reports of CAQC’s evaluation teams are prepared exclusively for the purpose of evaluating the organizational readiness and quality of proposed post-secondary degree programs in Alberta and with consent of the respective institutions. All evaluation reports are based upon CAQC’s policies and procedures which are available to all participants of the review process. Reports of Council’s evaluation teams are only one form of information considered during the Organizational Evaluation and Program Approval processes in Alberta, and Council may not accept or endorse all recommendations or comments contained in these reports.</w:t>
      </w:r>
    </w:p>
    <w:p w14:paraId="7538514B" w14:textId="77777777" w:rsidR="006734B3" w:rsidRPr="00D53D1E" w:rsidRDefault="006734B3" w:rsidP="00D53D1E">
      <w:pPr>
        <w:rPr>
          <w:i/>
          <w:iCs/>
        </w:rPr>
      </w:pPr>
    </w:p>
    <w:p w14:paraId="76CA998E" w14:textId="1A9BAD3D" w:rsidR="00D53D1E" w:rsidRDefault="00D53D1E" w:rsidP="00B01FD4">
      <w:pPr>
        <w:pStyle w:val="Heading1"/>
        <w:numPr>
          <w:ilvl w:val="0"/>
          <w:numId w:val="0"/>
        </w:numPr>
        <w:ind w:left="448" w:hanging="448"/>
      </w:pPr>
      <w:r w:rsidRPr="00D53D1E">
        <w:t>Executive</w:t>
      </w:r>
      <w:r w:rsidRPr="00631703">
        <w:t xml:space="preserve"> Summary</w:t>
      </w:r>
    </w:p>
    <w:p w14:paraId="19DA81E2" w14:textId="0A52C770" w:rsidR="00D53D1E" w:rsidRPr="00D53D1E" w:rsidRDefault="00D53D1E" w:rsidP="00D53D1E">
      <w:pPr>
        <w:rPr>
          <w:i/>
          <w:iCs/>
        </w:rPr>
      </w:pPr>
      <w:r>
        <w:rPr>
          <w:i/>
          <w:iCs/>
        </w:rPr>
        <w:t>Brief Executive Summary</w:t>
      </w:r>
    </w:p>
    <w:p w14:paraId="5571CFE6" w14:textId="77777777" w:rsidR="00D53D1E" w:rsidRDefault="00D53D1E" w:rsidP="00B60967">
      <w:pPr>
        <w:pStyle w:val="Heading2"/>
      </w:pPr>
      <w:r w:rsidRPr="00631703">
        <w:t xml:space="preserve">Assessment </w:t>
      </w:r>
      <w:r w:rsidRPr="00DC3B52">
        <w:t>Summary</w:t>
      </w:r>
      <w:r w:rsidRPr="00631703">
        <w:t xml:space="preserve"> Table</w:t>
      </w:r>
    </w:p>
    <w:p w14:paraId="5892EA49" w14:textId="77777777" w:rsidR="009D1808" w:rsidRPr="001013CB" w:rsidRDefault="009D1808" w:rsidP="00DC3B52"/>
    <w:tbl>
      <w:tblPr>
        <w:tblStyle w:val="TableGrid"/>
        <w:tblW w:w="5000" w:type="pct"/>
        <w:tblLook w:val="04A0" w:firstRow="1" w:lastRow="0" w:firstColumn="1" w:lastColumn="0" w:noHBand="0" w:noVBand="1"/>
      </w:tblPr>
      <w:tblGrid>
        <w:gridCol w:w="6900"/>
        <w:gridCol w:w="748"/>
        <w:gridCol w:w="903"/>
        <w:gridCol w:w="1519"/>
      </w:tblGrid>
      <w:tr w:rsidR="009D1808" w:rsidRPr="006E21E4" w14:paraId="1150125F" w14:textId="77777777" w:rsidTr="00237FB9">
        <w:tc>
          <w:tcPr>
            <w:tcW w:w="6799" w:type="dxa"/>
            <w:shd w:val="clear" w:color="auto" w:fill="EAF6FC"/>
          </w:tcPr>
          <w:p w14:paraId="1732DE58" w14:textId="77777777" w:rsidR="009D1808" w:rsidRPr="009D1808" w:rsidRDefault="009D1808" w:rsidP="007D5177">
            <w:pPr>
              <w:rPr>
                <w:rFonts w:ascii="Aptos" w:hAnsi="Aptos"/>
                <w:b/>
                <w:bCs/>
                <w:sz w:val="24"/>
                <w:szCs w:val="22"/>
              </w:rPr>
            </w:pPr>
            <w:r w:rsidRPr="009D1808">
              <w:rPr>
                <w:rFonts w:ascii="Aptos" w:hAnsi="Aptos"/>
                <w:b/>
                <w:bCs/>
                <w:sz w:val="24"/>
                <w:szCs w:val="22"/>
              </w:rPr>
              <w:t>CAQC Standard</w:t>
            </w:r>
          </w:p>
        </w:tc>
        <w:tc>
          <w:tcPr>
            <w:tcW w:w="426" w:type="dxa"/>
            <w:shd w:val="clear" w:color="auto" w:fill="EAF6FC"/>
          </w:tcPr>
          <w:p w14:paraId="1588980F" w14:textId="77777777" w:rsidR="009D1808" w:rsidRPr="009D1808" w:rsidRDefault="009D1808" w:rsidP="007D5177">
            <w:pPr>
              <w:rPr>
                <w:rFonts w:ascii="Aptos" w:hAnsi="Aptos"/>
                <w:b/>
                <w:bCs/>
                <w:sz w:val="24"/>
                <w:szCs w:val="22"/>
              </w:rPr>
            </w:pPr>
            <w:r w:rsidRPr="009D1808">
              <w:rPr>
                <w:rFonts w:ascii="Aptos" w:hAnsi="Aptos"/>
                <w:b/>
                <w:bCs/>
                <w:sz w:val="24"/>
                <w:szCs w:val="22"/>
              </w:rPr>
              <w:t>Fails</w:t>
            </w:r>
          </w:p>
        </w:tc>
        <w:tc>
          <w:tcPr>
            <w:tcW w:w="856" w:type="dxa"/>
            <w:shd w:val="clear" w:color="auto" w:fill="EAF6FC"/>
          </w:tcPr>
          <w:p w14:paraId="343E32DE" w14:textId="77777777" w:rsidR="009D1808" w:rsidRPr="009D1808" w:rsidRDefault="009D1808" w:rsidP="007D5177">
            <w:pPr>
              <w:rPr>
                <w:rFonts w:ascii="Aptos" w:hAnsi="Aptos"/>
                <w:b/>
                <w:bCs/>
                <w:sz w:val="24"/>
                <w:szCs w:val="22"/>
              </w:rPr>
            </w:pPr>
            <w:r w:rsidRPr="009D1808">
              <w:rPr>
                <w:rFonts w:ascii="Aptos" w:hAnsi="Aptos"/>
                <w:b/>
                <w:bCs/>
                <w:sz w:val="24"/>
                <w:szCs w:val="22"/>
              </w:rPr>
              <w:t>Meets</w:t>
            </w:r>
          </w:p>
        </w:tc>
        <w:tc>
          <w:tcPr>
            <w:tcW w:w="1269" w:type="dxa"/>
            <w:shd w:val="clear" w:color="auto" w:fill="EAF6FC"/>
          </w:tcPr>
          <w:p w14:paraId="51324A0F" w14:textId="77777777" w:rsidR="009D1808" w:rsidRPr="009D1808" w:rsidRDefault="009D1808" w:rsidP="007D5177">
            <w:pPr>
              <w:rPr>
                <w:rFonts w:ascii="Aptos" w:hAnsi="Aptos"/>
                <w:b/>
                <w:bCs/>
                <w:sz w:val="24"/>
                <w:szCs w:val="22"/>
              </w:rPr>
            </w:pPr>
            <w:r w:rsidRPr="009D1808">
              <w:rPr>
                <w:rFonts w:ascii="Aptos" w:hAnsi="Aptos"/>
                <w:b/>
                <w:bCs/>
                <w:sz w:val="24"/>
                <w:szCs w:val="22"/>
              </w:rPr>
              <w:t>Conditional</w:t>
            </w:r>
          </w:p>
        </w:tc>
      </w:tr>
      <w:tr w:rsidR="009D1808" w:rsidRPr="006E21E4" w14:paraId="52466FB2" w14:textId="77777777" w:rsidTr="009D1808">
        <w:tc>
          <w:tcPr>
            <w:tcW w:w="6799" w:type="dxa"/>
          </w:tcPr>
          <w:p w14:paraId="47DD6FB9" w14:textId="77777777" w:rsidR="009D1808" w:rsidRPr="006E21E4" w:rsidRDefault="009D1808" w:rsidP="00E0086F">
            <w:pPr>
              <w:pStyle w:val="ListParagraph"/>
              <w:numPr>
                <w:ilvl w:val="0"/>
                <w:numId w:val="6"/>
              </w:numPr>
              <w:rPr>
                <w:rFonts w:ascii="Aptos" w:hAnsi="Aptos"/>
                <w:b/>
                <w:bCs/>
              </w:rPr>
            </w:pPr>
            <w:r w:rsidRPr="006E21E4">
              <w:rPr>
                <w:rFonts w:ascii="Aptos" w:hAnsi="Aptos"/>
              </w:rPr>
              <w:t>Governance infrastructure codified in policies and procedures aligned with best practices among Canadian degree-granting institutions</w:t>
            </w:r>
          </w:p>
        </w:tc>
        <w:tc>
          <w:tcPr>
            <w:tcW w:w="426" w:type="dxa"/>
          </w:tcPr>
          <w:p w14:paraId="1513E24D" w14:textId="77777777" w:rsidR="009D1808" w:rsidRPr="006E21E4" w:rsidRDefault="009D1808" w:rsidP="007D5177">
            <w:pPr>
              <w:jc w:val="center"/>
              <w:rPr>
                <w:rFonts w:ascii="Aptos" w:hAnsi="Aptos"/>
              </w:rPr>
            </w:pPr>
            <w:r w:rsidRPr="006E21E4">
              <w:rPr>
                <w:rFonts w:ascii="Aptos" w:hAnsi="Aptos"/>
              </w:rPr>
              <w:t>X</w:t>
            </w:r>
          </w:p>
        </w:tc>
        <w:tc>
          <w:tcPr>
            <w:tcW w:w="856" w:type="dxa"/>
          </w:tcPr>
          <w:p w14:paraId="36DD7280" w14:textId="77777777" w:rsidR="009D1808" w:rsidRPr="006E21E4" w:rsidRDefault="009D1808" w:rsidP="007D5177">
            <w:pPr>
              <w:jc w:val="center"/>
              <w:rPr>
                <w:rFonts w:ascii="Aptos" w:hAnsi="Aptos"/>
              </w:rPr>
            </w:pPr>
            <w:r w:rsidRPr="006E21E4">
              <w:rPr>
                <w:rFonts w:ascii="Aptos" w:hAnsi="Aptos"/>
              </w:rPr>
              <w:t>X</w:t>
            </w:r>
          </w:p>
        </w:tc>
        <w:tc>
          <w:tcPr>
            <w:tcW w:w="1269" w:type="dxa"/>
          </w:tcPr>
          <w:p w14:paraId="687E59C3" w14:textId="77777777" w:rsidR="009D1808" w:rsidRPr="006E21E4" w:rsidRDefault="009D1808" w:rsidP="007D5177">
            <w:pPr>
              <w:jc w:val="center"/>
              <w:rPr>
                <w:rFonts w:ascii="Aptos" w:hAnsi="Aptos"/>
              </w:rPr>
            </w:pPr>
            <w:r w:rsidRPr="006E21E4">
              <w:rPr>
                <w:rFonts w:ascii="Aptos" w:hAnsi="Aptos"/>
              </w:rPr>
              <w:t>X</w:t>
            </w:r>
          </w:p>
        </w:tc>
      </w:tr>
      <w:tr w:rsidR="009D1808" w:rsidRPr="006E21E4" w14:paraId="25AFB03B" w14:textId="77777777" w:rsidTr="009D1808">
        <w:tc>
          <w:tcPr>
            <w:tcW w:w="6799" w:type="dxa"/>
          </w:tcPr>
          <w:p w14:paraId="7337E20B" w14:textId="77777777" w:rsidR="009D1808" w:rsidRPr="006E21E4" w:rsidRDefault="009D1808" w:rsidP="00E0086F">
            <w:pPr>
              <w:pStyle w:val="ListParagraph"/>
              <w:numPr>
                <w:ilvl w:val="0"/>
                <w:numId w:val="6"/>
              </w:numPr>
              <w:rPr>
                <w:rFonts w:ascii="Aptos" w:hAnsi="Aptos"/>
                <w:b/>
                <w:bCs/>
              </w:rPr>
            </w:pPr>
            <w:r w:rsidRPr="006E21E4">
              <w:rPr>
                <w:rFonts w:ascii="Aptos" w:hAnsi="Aptos"/>
              </w:rPr>
              <w:t>Resource Sufficiency, institutional stability, and student protections.</w:t>
            </w:r>
          </w:p>
        </w:tc>
        <w:tc>
          <w:tcPr>
            <w:tcW w:w="426" w:type="dxa"/>
          </w:tcPr>
          <w:p w14:paraId="41E7ACCB" w14:textId="77777777" w:rsidR="009D1808" w:rsidRPr="006E21E4" w:rsidRDefault="009D1808" w:rsidP="007D5177">
            <w:pPr>
              <w:jc w:val="center"/>
              <w:rPr>
                <w:rFonts w:ascii="Aptos" w:hAnsi="Aptos"/>
              </w:rPr>
            </w:pPr>
          </w:p>
        </w:tc>
        <w:tc>
          <w:tcPr>
            <w:tcW w:w="856" w:type="dxa"/>
          </w:tcPr>
          <w:p w14:paraId="6FDCB7B1" w14:textId="77777777" w:rsidR="009D1808" w:rsidRPr="006E21E4" w:rsidRDefault="009D1808" w:rsidP="007D5177">
            <w:pPr>
              <w:jc w:val="center"/>
              <w:rPr>
                <w:rFonts w:ascii="Aptos" w:hAnsi="Aptos"/>
              </w:rPr>
            </w:pPr>
          </w:p>
        </w:tc>
        <w:tc>
          <w:tcPr>
            <w:tcW w:w="1269" w:type="dxa"/>
          </w:tcPr>
          <w:p w14:paraId="017FFA3D" w14:textId="77777777" w:rsidR="009D1808" w:rsidRPr="006E21E4" w:rsidRDefault="009D1808" w:rsidP="007D5177">
            <w:pPr>
              <w:jc w:val="center"/>
              <w:rPr>
                <w:rFonts w:ascii="Aptos" w:hAnsi="Aptos"/>
              </w:rPr>
            </w:pPr>
          </w:p>
        </w:tc>
      </w:tr>
      <w:tr w:rsidR="009D1808" w:rsidRPr="006E21E4" w14:paraId="45E600BE" w14:textId="77777777" w:rsidTr="009D1808">
        <w:tc>
          <w:tcPr>
            <w:tcW w:w="6799" w:type="dxa"/>
          </w:tcPr>
          <w:p w14:paraId="60089881" w14:textId="77777777" w:rsidR="009D1808" w:rsidRPr="006E21E4" w:rsidRDefault="009D1808" w:rsidP="00E0086F">
            <w:pPr>
              <w:pStyle w:val="ListParagraph"/>
              <w:numPr>
                <w:ilvl w:val="0"/>
                <w:numId w:val="6"/>
              </w:numPr>
              <w:rPr>
                <w:rFonts w:ascii="Aptos" w:hAnsi="Aptos"/>
                <w:b/>
                <w:bCs/>
              </w:rPr>
            </w:pPr>
            <w:r w:rsidRPr="006E21E4">
              <w:rPr>
                <w:rFonts w:ascii="Aptos" w:hAnsi="Aptos"/>
              </w:rPr>
              <w:t>A culture of excellence in teaching and learning.</w:t>
            </w:r>
          </w:p>
        </w:tc>
        <w:tc>
          <w:tcPr>
            <w:tcW w:w="426" w:type="dxa"/>
          </w:tcPr>
          <w:p w14:paraId="44CF86BC" w14:textId="77777777" w:rsidR="009D1808" w:rsidRPr="006E21E4" w:rsidRDefault="009D1808" w:rsidP="007D5177">
            <w:pPr>
              <w:jc w:val="center"/>
              <w:rPr>
                <w:rFonts w:ascii="Aptos" w:hAnsi="Aptos"/>
              </w:rPr>
            </w:pPr>
          </w:p>
        </w:tc>
        <w:tc>
          <w:tcPr>
            <w:tcW w:w="856" w:type="dxa"/>
          </w:tcPr>
          <w:p w14:paraId="6870B1D0" w14:textId="77777777" w:rsidR="009D1808" w:rsidRPr="006E21E4" w:rsidRDefault="009D1808" w:rsidP="007D5177">
            <w:pPr>
              <w:jc w:val="center"/>
              <w:rPr>
                <w:rFonts w:ascii="Aptos" w:hAnsi="Aptos"/>
              </w:rPr>
            </w:pPr>
          </w:p>
        </w:tc>
        <w:tc>
          <w:tcPr>
            <w:tcW w:w="1269" w:type="dxa"/>
          </w:tcPr>
          <w:p w14:paraId="46625865" w14:textId="77777777" w:rsidR="009D1808" w:rsidRPr="006E21E4" w:rsidRDefault="009D1808" w:rsidP="007D5177">
            <w:pPr>
              <w:jc w:val="center"/>
              <w:rPr>
                <w:rFonts w:ascii="Aptos" w:hAnsi="Aptos"/>
              </w:rPr>
            </w:pPr>
          </w:p>
        </w:tc>
      </w:tr>
      <w:tr w:rsidR="009D1808" w:rsidRPr="006E21E4" w14:paraId="485FD0A9" w14:textId="77777777" w:rsidTr="009D1808">
        <w:tc>
          <w:tcPr>
            <w:tcW w:w="6799" w:type="dxa"/>
          </w:tcPr>
          <w:p w14:paraId="23B76200" w14:textId="77777777" w:rsidR="009D1808" w:rsidRPr="006E21E4" w:rsidRDefault="009D1808" w:rsidP="00E0086F">
            <w:pPr>
              <w:pStyle w:val="ListParagraph"/>
              <w:numPr>
                <w:ilvl w:val="0"/>
                <w:numId w:val="6"/>
              </w:numPr>
              <w:rPr>
                <w:rFonts w:ascii="Aptos" w:hAnsi="Aptos"/>
                <w:b/>
                <w:bCs/>
              </w:rPr>
            </w:pPr>
            <w:r w:rsidRPr="006E21E4">
              <w:rPr>
                <w:rFonts w:ascii="Aptos" w:hAnsi="Aptos"/>
              </w:rPr>
              <w:t>Commitment to research, scholarly, and creative work.</w:t>
            </w:r>
          </w:p>
        </w:tc>
        <w:tc>
          <w:tcPr>
            <w:tcW w:w="426" w:type="dxa"/>
          </w:tcPr>
          <w:p w14:paraId="4D375FD5" w14:textId="77777777" w:rsidR="009D1808" w:rsidRPr="006E21E4" w:rsidRDefault="009D1808" w:rsidP="007D5177">
            <w:pPr>
              <w:jc w:val="center"/>
              <w:rPr>
                <w:rFonts w:ascii="Aptos" w:hAnsi="Aptos"/>
              </w:rPr>
            </w:pPr>
          </w:p>
        </w:tc>
        <w:tc>
          <w:tcPr>
            <w:tcW w:w="856" w:type="dxa"/>
          </w:tcPr>
          <w:p w14:paraId="6064534E" w14:textId="77777777" w:rsidR="009D1808" w:rsidRPr="006E21E4" w:rsidRDefault="009D1808" w:rsidP="007D5177">
            <w:pPr>
              <w:jc w:val="center"/>
              <w:rPr>
                <w:rFonts w:ascii="Aptos" w:hAnsi="Aptos"/>
              </w:rPr>
            </w:pPr>
          </w:p>
        </w:tc>
        <w:tc>
          <w:tcPr>
            <w:tcW w:w="1269" w:type="dxa"/>
          </w:tcPr>
          <w:p w14:paraId="03DCCAE1" w14:textId="77777777" w:rsidR="009D1808" w:rsidRPr="006E21E4" w:rsidRDefault="009D1808" w:rsidP="007D5177">
            <w:pPr>
              <w:jc w:val="center"/>
              <w:rPr>
                <w:rFonts w:ascii="Aptos" w:hAnsi="Aptos"/>
              </w:rPr>
            </w:pPr>
          </w:p>
        </w:tc>
      </w:tr>
      <w:tr w:rsidR="009D1808" w:rsidRPr="006E21E4" w14:paraId="2D835A9F" w14:textId="77777777" w:rsidTr="009D1808">
        <w:tc>
          <w:tcPr>
            <w:tcW w:w="6799" w:type="dxa"/>
          </w:tcPr>
          <w:p w14:paraId="1ED4C2B5" w14:textId="77777777" w:rsidR="009D1808" w:rsidRPr="006E21E4" w:rsidRDefault="009D1808" w:rsidP="00E0086F">
            <w:pPr>
              <w:pStyle w:val="ListParagraph"/>
              <w:numPr>
                <w:ilvl w:val="0"/>
                <w:numId w:val="6"/>
              </w:numPr>
              <w:rPr>
                <w:rFonts w:ascii="Aptos" w:hAnsi="Aptos"/>
                <w:b/>
                <w:bCs/>
              </w:rPr>
            </w:pPr>
            <w:r w:rsidRPr="006E21E4">
              <w:rPr>
                <w:rFonts w:ascii="Aptos" w:hAnsi="Aptos"/>
              </w:rPr>
              <w:t>A culture of academic quality assurance.</w:t>
            </w:r>
          </w:p>
        </w:tc>
        <w:tc>
          <w:tcPr>
            <w:tcW w:w="426" w:type="dxa"/>
          </w:tcPr>
          <w:p w14:paraId="633E4F07" w14:textId="77777777" w:rsidR="009D1808" w:rsidRPr="006E21E4" w:rsidRDefault="009D1808" w:rsidP="007D5177">
            <w:pPr>
              <w:jc w:val="center"/>
              <w:rPr>
                <w:rFonts w:ascii="Aptos" w:hAnsi="Aptos"/>
              </w:rPr>
            </w:pPr>
          </w:p>
        </w:tc>
        <w:tc>
          <w:tcPr>
            <w:tcW w:w="856" w:type="dxa"/>
          </w:tcPr>
          <w:p w14:paraId="686A9F00" w14:textId="77777777" w:rsidR="009D1808" w:rsidRPr="006E21E4" w:rsidRDefault="009D1808" w:rsidP="007D5177">
            <w:pPr>
              <w:jc w:val="center"/>
              <w:rPr>
                <w:rFonts w:ascii="Aptos" w:hAnsi="Aptos"/>
              </w:rPr>
            </w:pPr>
          </w:p>
        </w:tc>
        <w:tc>
          <w:tcPr>
            <w:tcW w:w="1269" w:type="dxa"/>
          </w:tcPr>
          <w:p w14:paraId="5D62AC93" w14:textId="77777777" w:rsidR="009D1808" w:rsidRPr="006E21E4" w:rsidRDefault="009D1808" w:rsidP="007D5177">
            <w:pPr>
              <w:jc w:val="center"/>
              <w:rPr>
                <w:rFonts w:ascii="Aptos" w:hAnsi="Aptos"/>
              </w:rPr>
            </w:pPr>
          </w:p>
        </w:tc>
      </w:tr>
      <w:tr w:rsidR="009D1808" w:rsidRPr="006E21E4" w14:paraId="309BA9AE" w14:textId="77777777" w:rsidTr="009D1808">
        <w:tc>
          <w:tcPr>
            <w:tcW w:w="6799" w:type="dxa"/>
          </w:tcPr>
          <w:p w14:paraId="233849B9" w14:textId="77777777" w:rsidR="009D1808" w:rsidRPr="006E21E4" w:rsidRDefault="009D1808" w:rsidP="00E0086F">
            <w:pPr>
              <w:pStyle w:val="ListParagraph"/>
              <w:numPr>
                <w:ilvl w:val="0"/>
                <w:numId w:val="6"/>
              </w:numPr>
              <w:rPr>
                <w:rFonts w:ascii="Aptos" w:hAnsi="Aptos"/>
                <w:b/>
                <w:bCs/>
              </w:rPr>
            </w:pPr>
            <w:r w:rsidRPr="006E21E4">
              <w:rPr>
                <w:rFonts w:ascii="Aptos" w:hAnsi="Aptos"/>
              </w:rPr>
              <w:t xml:space="preserve">Systemic commitments to equity, diversity, Indigeneity, ethical practice, inclusion, and accessibility. </w:t>
            </w:r>
          </w:p>
        </w:tc>
        <w:tc>
          <w:tcPr>
            <w:tcW w:w="426" w:type="dxa"/>
          </w:tcPr>
          <w:p w14:paraId="41710E61" w14:textId="77777777" w:rsidR="009D1808" w:rsidRPr="006E21E4" w:rsidRDefault="009D1808" w:rsidP="007D5177">
            <w:pPr>
              <w:jc w:val="center"/>
              <w:rPr>
                <w:rFonts w:ascii="Aptos" w:hAnsi="Aptos"/>
              </w:rPr>
            </w:pPr>
          </w:p>
        </w:tc>
        <w:tc>
          <w:tcPr>
            <w:tcW w:w="856" w:type="dxa"/>
          </w:tcPr>
          <w:p w14:paraId="294186B7" w14:textId="77777777" w:rsidR="009D1808" w:rsidRPr="006E21E4" w:rsidRDefault="009D1808" w:rsidP="007D5177">
            <w:pPr>
              <w:jc w:val="center"/>
              <w:rPr>
                <w:rFonts w:ascii="Aptos" w:hAnsi="Aptos"/>
              </w:rPr>
            </w:pPr>
          </w:p>
        </w:tc>
        <w:tc>
          <w:tcPr>
            <w:tcW w:w="1269" w:type="dxa"/>
          </w:tcPr>
          <w:p w14:paraId="51D9EE66" w14:textId="77777777" w:rsidR="009D1808" w:rsidRPr="006E21E4" w:rsidRDefault="009D1808" w:rsidP="007D5177">
            <w:pPr>
              <w:jc w:val="center"/>
              <w:rPr>
                <w:rFonts w:ascii="Aptos" w:hAnsi="Aptos"/>
              </w:rPr>
            </w:pPr>
          </w:p>
        </w:tc>
      </w:tr>
    </w:tbl>
    <w:p w14:paraId="5EC93DE5" w14:textId="77777777" w:rsidR="009D1808" w:rsidRPr="006E21E4" w:rsidRDefault="009D1808" w:rsidP="009D1808">
      <w:pPr>
        <w:rPr>
          <w:rFonts w:ascii="Aptos" w:hAnsi="Aptos"/>
        </w:rPr>
      </w:pPr>
    </w:p>
    <w:p w14:paraId="59F42991" w14:textId="4C02BCC8" w:rsidR="00C61349" w:rsidRDefault="00DC3B52" w:rsidP="00B60967">
      <w:pPr>
        <w:pStyle w:val="Heading2"/>
      </w:pPr>
      <w:r>
        <w:t>Overall Recommendations</w:t>
      </w:r>
    </w:p>
    <w:p w14:paraId="4DB749B1" w14:textId="33833B2D" w:rsidR="00DC3B52" w:rsidRDefault="00DC3B52" w:rsidP="00DC3B52">
      <w:pPr>
        <w:rPr>
          <w:b/>
          <w:bCs/>
          <w:i/>
          <w:iCs/>
        </w:rPr>
      </w:pPr>
      <w:r>
        <w:rPr>
          <w:i/>
          <w:iCs/>
        </w:rPr>
        <w:t xml:space="preserve">The Site Visit Team </w:t>
      </w:r>
      <w:r>
        <w:rPr>
          <w:b/>
          <w:bCs/>
          <w:i/>
          <w:iCs/>
        </w:rPr>
        <w:t>recommends</w:t>
      </w:r>
      <w:proofErr w:type="gramStart"/>
      <w:r>
        <w:rPr>
          <w:b/>
          <w:bCs/>
          <w:i/>
          <w:iCs/>
        </w:rPr>
        <w:t>…..</w:t>
      </w:r>
      <w:proofErr w:type="gramEnd"/>
    </w:p>
    <w:p w14:paraId="216DDDBE" w14:textId="77777777" w:rsidR="002333B4" w:rsidRPr="002333B4" w:rsidRDefault="002333B4" w:rsidP="002333B4">
      <w:pPr>
        <w:rPr>
          <w:i/>
          <w:iCs/>
          <w:color w:val="FF0000"/>
        </w:rPr>
      </w:pPr>
      <w:r w:rsidRPr="002333B4">
        <w:rPr>
          <w:b/>
          <w:bCs/>
          <w:i/>
          <w:iCs/>
          <w:color w:val="FF0000"/>
        </w:rPr>
        <w:lastRenderedPageBreak/>
        <w:t>SAMPLE WORDING:</w:t>
      </w:r>
      <w:r w:rsidRPr="002333B4">
        <w:rPr>
          <w:i/>
          <w:iCs/>
          <w:color w:val="FF0000"/>
        </w:rPr>
        <w:t xml:space="preserve"> The Team believes [Institution] [has / has not] demonstrated the capacity to implement and sustain baccalaureate/graduate degree programming and recommends that the Council [move / not move] the application for a [name of proposal] to the program evaluation stage. </w:t>
      </w:r>
    </w:p>
    <w:p w14:paraId="0EE07654" w14:textId="77777777" w:rsidR="002333B4" w:rsidRPr="002333B4" w:rsidRDefault="002333B4" w:rsidP="002333B4">
      <w:pPr>
        <w:ind w:left="720"/>
        <w:rPr>
          <w:i/>
          <w:iCs/>
          <w:color w:val="FF0000"/>
        </w:rPr>
      </w:pPr>
      <w:r w:rsidRPr="002333B4">
        <w:rPr>
          <w:i/>
          <w:iCs/>
          <w:color w:val="FF0000"/>
        </w:rPr>
        <w:t xml:space="preserve"> </w:t>
      </w:r>
    </w:p>
    <w:p w14:paraId="54281FC0" w14:textId="77777777" w:rsidR="002333B4" w:rsidRPr="002333B4" w:rsidRDefault="002333B4" w:rsidP="002333B4">
      <w:pPr>
        <w:ind w:left="720"/>
        <w:rPr>
          <w:i/>
          <w:iCs/>
          <w:color w:val="FF0000"/>
        </w:rPr>
      </w:pPr>
      <w:r w:rsidRPr="002333B4">
        <w:rPr>
          <w:i/>
          <w:iCs/>
          <w:color w:val="FF0000"/>
        </w:rPr>
        <w:t xml:space="preserve">OR </w:t>
      </w:r>
    </w:p>
    <w:p w14:paraId="2256DB2C" w14:textId="77777777" w:rsidR="002333B4" w:rsidRPr="002333B4" w:rsidRDefault="002333B4" w:rsidP="002333B4">
      <w:pPr>
        <w:ind w:left="720"/>
        <w:rPr>
          <w:i/>
          <w:iCs/>
          <w:color w:val="FF0000"/>
        </w:rPr>
      </w:pPr>
      <w:r w:rsidRPr="002333B4">
        <w:rPr>
          <w:i/>
          <w:iCs/>
          <w:color w:val="FF0000"/>
        </w:rPr>
        <w:t xml:space="preserve"> </w:t>
      </w:r>
    </w:p>
    <w:p w14:paraId="72381464" w14:textId="7922F954" w:rsidR="002333B4" w:rsidRDefault="002333B4" w:rsidP="002333B4">
      <w:pPr>
        <w:rPr>
          <w:i/>
          <w:iCs/>
          <w:color w:val="FF0000"/>
        </w:rPr>
      </w:pPr>
      <w:r w:rsidRPr="002333B4">
        <w:rPr>
          <w:i/>
          <w:iCs/>
          <w:color w:val="FF0000"/>
        </w:rPr>
        <w:t>The Team members have concluded that [Institution] [meets / does not meet] the organizational criteria and standards set by CAQC to implement and sustain the proposed degree program. The Team recommends that the Council [move / not move] the application for a [name of proposal] to the program evaluation stage.</w:t>
      </w:r>
    </w:p>
    <w:p w14:paraId="319F4032" w14:textId="77777777" w:rsidR="009B0B69" w:rsidRDefault="009B0B69" w:rsidP="002333B4">
      <w:pPr>
        <w:rPr>
          <w:i/>
          <w:iCs/>
          <w:color w:val="FF0000"/>
        </w:rPr>
      </w:pPr>
    </w:p>
    <w:p w14:paraId="0E62DCCD" w14:textId="77777777" w:rsidR="009B0B69" w:rsidRDefault="009B0B69" w:rsidP="009B0B69">
      <w:pPr>
        <w:rPr>
          <w:i/>
          <w:iCs/>
        </w:rPr>
      </w:pPr>
      <w:r w:rsidRPr="009B0B69">
        <w:rPr>
          <w:i/>
          <w:iCs/>
        </w:rPr>
        <w:t xml:space="preserve">Include any other comments the team wishes to make regarding major findings, broad conclusions, key impressions, etc.  </w:t>
      </w:r>
    </w:p>
    <w:p w14:paraId="22A620DC" w14:textId="77777777" w:rsidR="009B0B69" w:rsidRPr="009B0B69" w:rsidRDefault="009B0B69" w:rsidP="009B0B69">
      <w:pPr>
        <w:rPr>
          <w:i/>
          <w:iCs/>
        </w:rPr>
      </w:pPr>
    </w:p>
    <w:p w14:paraId="3D09C436" w14:textId="01BD5242" w:rsidR="009B0B69" w:rsidRPr="009B0B69" w:rsidRDefault="009B0B69" w:rsidP="009B0B69">
      <w:r w:rsidRPr="009B0B69">
        <w:t>A complete listing of the Team’s Conditions and Recommendations can be found in Appendix A.</w:t>
      </w:r>
    </w:p>
    <w:p w14:paraId="48B403E8" w14:textId="77777777" w:rsidR="00DC3B52" w:rsidRDefault="00DC3B52" w:rsidP="00DC3B52">
      <w:pPr>
        <w:rPr>
          <w:b/>
          <w:bCs/>
          <w:i/>
          <w:iCs/>
        </w:rPr>
      </w:pPr>
    </w:p>
    <w:p w14:paraId="66965673" w14:textId="7DA854DB" w:rsidR="00E15A65" w:rsidRDefault="00E15A65" w:rsidP="00B60967">
      <w:pPr>
        <w:pStyle w:val="Heading2"/>
      </w:pPr>
      <w:r>
        <w:t>Evaluation Team Members</w:t>
      </w:r>
    </w:p>
    <w:tbl>
      <w:tblPr>
        <w:tblStyle w:val="TableGrid"/>
        <w:tblW w:w="5000" w:type="pct"/>
        <w:tblLook w:val="04A0" w:firstRow="1" w:lastRow="0" w:firstColumn="1" w:lastColumn="0" w:noHBand="0" w:noVBand="1"/>
      </w:tblPr>
      <w:tblGrid>
        <w:gridCol w:w="3469"/>
        <w:gridCol w:w="3854"/>
        <w:gridCol w:w="2747"/>
      </w:tblGrid>
      <w:tr w:rsidR="003C1158" w:rsidRPr="006E21E4" w14:paraId="1B126017" w14:textId="77777777" w:rsidTr="00237FB9">
        <w:tc>
          <w:tcPr>
            <w:tcW w:w="3221" w:type="dxa"/>
            <w:shd w:val="clear" w:color="auto" w:fill="EAF6FC"/>
          </w:tcPr>
          <w:p w14:paraId="3B440583" w14:textId="77777777" w:rsidR="003C1158" w:rsidRPr="003C1158" w:rsidRDefault="003C1158" w:rsidP="007D5177">
            <w:pPr>
              <w:rPr>
                <w:rFonts w:ascii="Aptos" w:hAnsi="Aptos"/>
                <w:b/>
                <w:bCs/>
              </w:rPr>
            </w:pPr>
            <w:r w:rsidRPr="003C1158">
              <w:rPr>
                <w:rFonts w:ascii="Aptos" w:hAnsi="Aptos"/>
                <w:b/>
                <w:bCs/>
              </w:rPr>
              <w:t xml:space="preserve">Name </w:t>
            </w:r>
          </w:p>
        </w:tc>
        <w:tc>
          <w:tcPr>
            <w:tcW w:w="3578" w:type="dxa"/>
            <w:shd w:val="clear" w:color="auto" w:fill="EAF6FC"/>
          </w:tcPr>
          <w:p w14:paraId="3B94332E" w14:textId="77777777" w:rsidR="003C1158" w:rsidRPr="003C1158" w:rsidRDefault="003C1158" w:rsidP="007D5177">
            <w:pPr>
              <w:rPr>
                <w:rFonts w:ascii="Aptos" w:hAnsi="Aptos"/>
                <w:b/>
                <w:bCs/>
                <w:strike/>
              </w:rPr>
            </w:pPr>
            <w:r w:rsidRPr="003C1158">
              <w:rPr>
                <w:rFonts w:ascii="Aptos" w:hAnsi="Aptos"/>
                <w:b/>
                <w:bCs/>
              </w:rPr>
              <w:t>Role</w:t>
            </w:r>
          </w:p>
        </w:tc>
        <w:tc>
          <w:tcPr>
            <w:tcW w:w="2551" w:type="dxa"/>
            <w:shd w:val="clear" w:color="auto" w:fill="EAF6FC"/>
          </w:tcPr>
          <w:p w14:paraId="3F7C3537" w14:textId="77777777" w:rsidR="003C1158" w:rsidRPr="003C1158" w:rsidRDefault="003C1158" w:rsidP="007D5177">
            <w:pPr>
              <w:rPr>
                <w:rFonts w:ascii="Aptos" w:hAnsi="Aptos"/>
                <w:b/>
                <w:bCs/>
              </w:rPr>
            </w:pPr>
            <w:r w:rsidRPr="003C1158">
              <w:rPr>
                <w:rFonts w:ascii="Aptos" w:hAnsi="Aptos"/>
                <w:b/>
                <w:bCs/>
              </w:rPr>
              <w:t>Date of Final Review*</w:t>
            </w:r>
          </w:p>
        </w:tc>
      </w:tr>
      <w:tr w:rsidR="003C1158" w:rsidRPr="006E21E4" w14:paraId="523CEAEF" w14:textId="77777777" w:rsidTr="003C1158">
        <w:tc>
          <w:tcPr>
            <w:tcW w:w="3221" w:type="dxa"/>
          </w:tcPr>
          <w:p w14:paraId="2AFD156B" w14:textId="77777777" w:rsidR="003C1158" w:rsidRPr="006E21E4" w:rsidRDefault="003C1158" w:rsidP="007D5177">
            <w:pPr>
              <w:rPr>
                <w:rFonts w:ascii="Aptos" w:hAnsi="Aptos"/>
                <w:b/>
                <w:bCs/>
              </w:rPr>
            </w:pPr>
          </w:p>
        </w:tc>
        <w:tc>
          <w:tcPr>
            <w:tcW w:w="3578" w:type="dxa"/>
          </w:tcPr>
          <w:p w14:paraId="4A2B7327" w14:textId="77777777" w:rsidR="003C1158" w:rsidRPr="006E21E4" w:rsidRDefault="003C1158" w:rsidP="007D5177">
            <w:pPr>
              <w:rPr>
                <w:rFonts w:ascii="Aptos" w:hAnsi="Aptos"/>
              </w:rPr>
            </w:pPr>
            <w:r w:rsidRPr="006E21E4">
              <w:rPr>
                <w:rFonts w:ascii="Aptos" w:hAnsi="Aptos"/>
              </w:rPr>
              <w:t xml:space="preserve">Chair of the </w:t>
            </w:r>
            <w:r>
              <w:rPr>
                <w:rFonts w:ascii="Aptos" w:hAnsi="Aptos"/>
              </w:rPr>
              <w:t>Organization</w:t>
            </w:r>
            <w:r w:rsidRPr="006E21E4">
              <w:rPr>
                <w:rFonts w:ascii="Aptos" w:hAnsi="Aptos"/>
              </w:rPr>
              <w:t xml:space="preserve"> Evaluation Team</w:t>
            </w:r>
          </w:p>
        </w:tc>
        <w:tc>
          <w:tcPr>
            <w:tcW w:w="2551" w:type="dxa"/>
          </w:tcPr>
          <w:p w14:paraId="7FED6B5E" w14:textId="77777777" w:rsidR="003C1158" w:rsidRPr="006E21E4" w:rsidRDefault="003C1158" w:rsidP="007D5177">
            <w:pPr>
              <w:rPr>
                <w:rFonts w:ascii="Aptos" w:hAnsi="Aptos"/>
              </w:rPr>
            </w:pPr>
          </w:p>
        </w:tc>
      </w:tr>
      <w:tr w:rsidR="003C1158" w:rsidRPr="006E21E4" w14:paraId="79BAE2E1" w14:textId="77777777" w:rsidTr="003C1158">
        <w:tc>
          <w:tcPr>
            <w:tcW w:w="3221" w:type="dxa"/>
          </w:tcPr>
          <w:p w14:paraId="060DC159" w14:textId="77777777" w:rsidR="003C1158" w:rsidRPr="006E21E4" w:rsidRDefault="003C1158" w:rsidP="007D5177">
            <w:pPr>
              <w:rPr>
                <w:rFonts w:ascii="Aptos" w:hAnsi="Aptos"/>
                <w:b/>
                <w:bCs/>
              </w:rPr>
            </w:pPr>
          </w:p>
        </w:tc>
        <w:tc>
          <w:tcPr>
            <w:tcW w:w="3578" w:type="dxa"/>
          </w:tcPr>
          <w:p w14:paraId="58BF23BC" w14:textId="77777777" w:rsidR="003C1158" w:rsidRPr="006E21E4" w:rsidRDefault="003C1158" w:rsidP="007D5177">
            <w:pPr>
              <w:rPr>
                <w:rFonts w:ascii="Aptos" w:hAnsi="Aptos"/>
              </w:rPr>
            </w:pPr>
            <w:r w:rsidRPr="006E21E4">
              <w:rPr>
                <w:rFonts w:ascii="Aptos" w:hAnsi="Aptos"/>
              </w:rPr>
              <w:t xml:space="preserve">Member of the </w:t>
            </w:r>
            <w:r>
              <w:rPr>
                <w:rFonts w:ascii="Aptos" w:hAnsi="Aptos"/>
              </w:rPr>
              <w:t>Organization</w:t>
            </w:r>
            <w:r w:rsidRPr="006E21E4">
              <w:rPr>
                <w:rFonts w:ascii="Aptos" w:hAnsi="Aptos"/>
              </w:rPr>
              <w:t xml:space="preserve"> Evaluation Team</w:t>
            </w:r>
          </w:p>
        </w:tc>
        <w:tc>
          <w:tcPr>
            <w:tcW w:w="2551" w:type="dxa"/>
          </w:tcPr>
          <w:p w14:paraId="37CACA2D" w14:textId="77777777" w:rsidR="003C1158" w:rsidRPr="006E21E4" w:rsidRDefault="003C1158" w:rsidP="007D5177">
            <w:pPr>
              <w:rPr>
                <w:rFonts w:ascii="Aptos" w:hAnsi="Aptos"/>
              </w:rPr>
            </w:pPr>
          </w:p>
        </w:tc>
      </w:tr>
      <w:tr w:rsidR="003C1158" w:rsidRPr="006E21E4" w14:paraId="7B84A604" w14:textId="77777777" w:rsidTr="003C1158">
        <w:tc>
          <w:tcPr>
            <w:tcW w:w="3221" w:type="dxa"/>
          </w:tcPr>
          <w:p w14:paraId="119EDD55" w14:textId="77777777" w:rsidR="003C1158" w:rsidRPr="006E21E4" w:rsidRDefault="003C1158" w:rsidP="007D5177">
            <w:pPr>
              <w:rPr>
                <w:rFonts w:ascii="Aptos" w:hAnsi="Aptos"/>
                <w:b/>
                <w:bCs/>
              </w:rPr>
            </w:pPr>
          </w:p>
        </w:tc>
        <w:tc>
          <w:tcPr>
            <w:tcW w:w="3578" w:type="dxa"/>
          </w:tcPr>
          <w:p w14:paraId="169DC8A5" w14:textId="77777777" w:rsidR="003C1158" w:rsidRPr="006E21E4" w:rsidRDefault="003C1158" w:rsidP="007D5177">
            <w:pPr>
              <w:rPr>
                <w:rFonts w:ascii="Aptos" w:hAnsi="Aptos"/>
              </w:rPr>
            </w:pPr>
            <w:r w:rsidRPr="006E21E4">
              <w:rPr>
                <w:rFonts w:ascii="Aptos" w:hAnsi="Aptos"/>
              </w:rPr>
              <w:t xml:space="preserve">Member of the </w:t>
            </w:r>
            <w:r>
              <w:rPr>
                <w:rFonts w:ascii="Aptos" w:hAnsi="Aptos"/>
              </w:rPr>
              <w:t>Organization</w:t>
            </w:r>
            <w:r w:rsidRPr="006E21E4">
              <w:rPr>
                <w:rFonts w:ascii="Aptos" w:hAnsi="Aptos"/>
              </w:rPr>
              <w:t xml:space="preserve"> Evaluation Team</w:t>
            </w:r>
          </w:p>
        </w:tc>
        <w:tc>
          <w:tcPr>
            <w:tcW w:w="2551" w:type="dxa"/>
          </w:tcPr>
          <w:p w14:paraId="3E270F59" w14:textId="77777777" w:rsidR="003C1158" w:rsidRPr="006E21E4" w:rsidRDefault="003C1158" w:rsidP="007D5177">
            <w:pPr>
              <w:rPr>
                <w:rFonts w:ascii="Aptos" w:hAnsi="Aptos"/>
              </w:rPr>
            </w:pPr>
          </w:p>
        </w:tc>
      </w:tr>
    </w:tbl>
    <w:p w14:paraId="6D1839AE" w14:textId="77777777" w:rsidR="00E15A65" w:rsidRPr="00E15A65" w:rsidRDefault="00E15A65" w:rsidP="00E15A65"/>
    <w:p w14:paraId="3E087669" w14:textId="77777777" w:rsidR="00836DC4" w:rsidRPr="00C71EA2" w:rsidRDefault="00836DC4" w:rsidP="00836DC4">
      <w:pPr>
        <w:rPr>
          <w:rFonts w:ascii="Aptos" w:hAnsi="Aptos"/>
          <w:i/>
          <w:iCs/>
        </w:rPr>
      </w:pPr>
      <w:r w:rsidRPr="00C71EA2">
        <w:rPr>
          <w:rFonts w:ascii="Aptos" w:hAnsi="Aptos"/>
          <w:i/>
          <w:iCs/>
        </w:rPr>
        <w:t xml:space="preserve">* </w:t>
      </w:r>
      <w:r>
        <w:rPr>
          <w:rFonts w:ascii="Aptos" w:hAnsi="Aptos"/>
          <w:i/>
          <w:iCs/>
        </w:rPr>
        <w:t xml:space="preserve">Each team member should enter the date of their final review of this document. </w:t>
      </w:r>
      <w:r w:rsidRPr="00C71EA2">
        <w:rPr>
          <w:rFonts w:ascii="Aptos" w:hAnsi="Aptos"/>
          <w:i/>
          <w:iCs/>
        </w:rPr>
        <w:t xml:space="preserve">Members of the Evaluation Team will be copied on the final submission of the Report </w:t>
      </w:r>
      <w:r>
        <w:rPr>
          <w:rFonts w:ascii="Aptos" w:hAnsi="Aptos"/>
          <w:i/>
          <w:iCs/>
        </w:rPr>
        <w:t xml:space="preserve">from the Team Chair </w:t>
      </w:r>
      <w:r w:rsidRPr="00C71EA2">
        <w:rPr>
          <w:rFonts w:ascii="Aptos" w:hAnsi="Aptos"/>
          <w:i/>
          <w:iCs/>
        </w:rPr>
        <w:t>to Council</w:t>
      </w:r>
      <w:r>
        <w:rPr>
          <w:rFonts w:ascii="Aptos" w:hAnsi="Aptos"/>
          <w:i/>
          <w:iCs/>
        </w:rPr>
        <w:t xml:space="preserve">, which indicates agreement of all members with </w:t>
      </w:r>
      <w:r w:rsidRPr="00C71EA2">
        <w:rPr>
          <w:rFonts w:ascii="Aptos" w:hAnsi="Aptos"/>
          <w:i/>
          <w:iCs/>
        </w:rPr>
        <w:t xml:space="preserve">the final report as submitted. </w:t>
      </w:r>
    </w:p>
    <w:p w14:paraId="00D346AC" w14:textId="77777777" w:rsidR="002E230C" w:rsidRPr="002E230C" w:rsidRDefault="002E230C" w:rsidP="00B60967">
      <w:pPr>
        <w:pStyle w:val="Heading2"/>
      </w:pPr>
      <w:r w:rsidRPr="002E230C">
        <w:t>Introduction</w:t>
      </w:r>
    </w:p>
    <w:p w14:paraId="444AF2AD" w14:textId="77777777" w:rsidR="002E230C" w:rsidRPr="002E230C" w:rsidRDefault="002E230C" w:rsidP="002E230C">
      <w:pPr>
        <w:spacing w:after="240"/>
      </w:pPr>
      <w:r w:rsidRPr="002E230C">
        <w:t xml:space="preserve">Overview of Site Visit, Context of Site Visit, and Reference to the Organizational Overview provided in Self-Study as needed. </w:t>
      </w:r>
    </w:p>
    <w:p w14:paraId="0A4CA78D" w14:textId="77777777" w:rsidR="002E230C" w:rsidRPr="002E230C" w:rsidRDefault="002E230C" w:rsidP="002E230C">
      <w:pPr>
        <w:spacing w:after="240"/>
      </w:pPr>
      <w:r w:rsidRPr="002E230C">
        <w:t>Council invited</w:t>
      </w:r>
      <w:proofErr w:type="gramStart"/>
      <w:r w:rsidRPr="002E230C">
        <w:t>…..</w:t>
      </w:r>
      <w:proofErr w:type="gramEnd"/>
    </w:p>
    <w:p w14:paraId="39C47CDA" w14:textId="77777777" w:rsidR="002E230C" w:rsidRPr="002E230C" w:rsidRDefault="002E230C" w:rsidP="002E230C">
      <w:pPr>
        <w:spacing w:after="240"/>
      </w:pPr>
      <w:r w:rsidRPr="002E230C">
        <w:t>On Date X….</w:t>
      </w:r>
    </w:p>
    <w:p w14:paraId="41F68C9D" w14:textId="77777777" w:rsidR="002E230C" w:rsidRPr="002E230C" w:rsidRDefault="002E230C" w:rsidP="002E230C">
      <w:pPr>
        <w:spacing w:after="240"/>
      </w:pPr>
      <w:r w:rsidRPr="002E230C">
        <w:t>On Date Y…</w:t>
      </w:r>
    </w:p>
    <w:p w14:paraId="61E65850" w14:textId="2A7D3F93" w:rsidR="00E15A65" w:rsidRDefault="002E230C" w:rsidP="002E230C">
      <w:pPr>
        <w:spacing w:after="240"/>
      </w:pPr>
      <w:r w:rsidRPr="002E230C">
        <w:t>The Team would like to….</w:t>
      </w:r>
    </w:p>
    <w:p w14:paraId="282B88F8" w14:textId="77777777" w:rsidR="002372FE" w:rsidRDefault="002372FE" w:rsidP="002E230C">
      <w:pPr>
        <w:spacing w:after="240"/>
      </w:pPr>
    </w:p>
    <w:p w14:paraId="30ADCB68" w14:textId="6AC230A4" w:rsidR="002372FE" w:rsidRPr="006E0ED7" w:rsidRDefault="002372FE" w:rsidP="00E0086F">
      <w:pPr>
        <w:pStyle w:val="Heading1"/>
        <w:numPr>
          <w:ilvl w:val="0"/>
          <w:numId w:val="24"/>
        </w:numPr>
      </w:pPr>
      <w:r w:rsidRPr="006E21E4">
        <w:t>Standard 1: Governance and Mandate</w:t>
      </w:r>
    </w:p>
    <w:tbl>
      <w:tblPr>
        <w:tblStyle w:val="TableGrid"/>
        <w:tblW w:w="5000" w:type="pct"/>
        <w:tblLook w:val="04A0" w:firstRow="1" w:lastRow="0" w:firstColumn="1" w:lastColumn="0" w:noHBand="0" w:noVBand="1"/>
      </w:tblPr>
      <w:tblGrid>
        <w:gridCol w:w="10070"/>
      </w:tblGrid>
      <w:tr w:rsidR="002372FE" w:rsidRPr="006E21E4" w14:paraId="26DF371C" w14:textId="77777777" w:rsidTr="00442B7D">
        <w:tc>
          <w:tcPr>
            <w:tcW w:w="10070" w:type="dxa"/>
            <w:shd w:val="clear" w:color="auto" w:fill="005072"/>
          </w:tcPr>
          <w:p w14:paraId="16611E97" w14:textId="0BB239E5" w:rsidR="002372FE" w:rsidRPr="00442B7D" w:rsidRDefault="00996490" w:rsidP="00996490">
            <w:pPr>
              <w:rPr>
                <w:rFonts w:ascii="Aptos" w:hAnsi="Aptos"/>
                <w:color w:val="FFFFFF" w:themeColor="background1"/>
              </w:rPr>
            </w:pPr>
            <w:r w:rsidRPr="00442B7D">
              <w:rPr>
                <w:rFonts w:ascii="Aptos" w:hAnsi="Aptos"/>
                <w:b/>
                <w:bCs/>
                <w:color w:val="FFFFFF" w:themeColor="background1"/>
                <w:szCs w:val="22"/>
              </w:rPr>
              <w:lastRenderedPageBreak/>
              <w:t xml:space="preserve">1) </w:t>
            </w:r>
            <w:r w:rsidR="002372FE" w:rsidRPr="00442B7D">
              <w:rPr>
                <w:rFonts w:ascii="Aptos" w:hAnsi="Aptos"/>
                <w:b/>
                <w:bCs/>
                <w:color w:val="FFFFFF" w:themeColor="background1"/>
                <w:szCs w:val="22"/>
              </w:rPr>
              <w:t>Governance infrastructure codified in policies and procedures aligned with best practices among Canadian degree-granting organizations.</w:t>
            </w:r>
          </w:p>
        </w:tc>
      </w:tr>
      <w:tr w:rsidR="002372FE" w:rsidRPr="006E21E4" w14:paraId="00594E8C" w14:textId="77777777" w:rsidTr="00B01FD4">
        <w:tc>
          <w:tcPr>
            <w:tcW w:w="10070" w:type="dxa"/>
            <w:shd w:val="clear" w:color="auto" w:fill="EAF6FC"/>
          </w:tcPr>
          <w:p w14:paraId="51C15150" w14:textId="559EBEF1" w:rsidR="002372FE" w:rsidRPr="005016CC" w:rsidRDefault="002372FE" w:rsidP="00B01FD4">
            <w:pPr>
              <w:jc w:val="center"/>
              <w:rPr>
                <w:rFonts w:ascii="Aptos" w:hAnsi="Aptos" w:cstheme="minorHAnsi"/>
                <w:b/>
                <w:bCs/>
              </w:rPr>
            </w:pPr>
            <w:r w:rsidRPr="005016CC">
              <w:rPr>
                <w:rFonts w:ascii="Aptos" w:hAnsi="Aptos" w:cstheme="minorHAnsi"/>
                <w:b/>
                <w:bCs/>
              </w:rPr>
              <w:t>AREAS OF FOCUS</w:t>
            </w:r>
          </w:p>
        </w:tc>
      </w:tr>
      <w:tr w:rsidR="002372FE" w:rsidRPr="006E21E4" w14:paraId="58C466DF" w14:textId="77777777" w:rsidTr="007D5177">
        <w:tc>
          <w:tcPr>
            <w:tcW w:w="10070" w:type="dxa"/>
          </w:tcPr>
          <w:p w14:paraId="7D26F439" w14:textId="77777777" w:rsidR="002372FE" w:rsidRPr="005016CC" w:rsidRDefault="002372FE" w:rsidP="007D5177">
            <w:pPr>
              <w:rPr>
                <w:rFonts w:ascii="Aptos" w:hAnsi="Aptos" w:cs="Calibri"/>
                <w:sz w:val="20"/>
                <w:szCs w:val="18"/>
              </w:rPr>
            </w:pPr>
            <w:r w:rsidRPr="005016CC">
              <w:rPr>
                <w:rFonts w:ascii="Aptos" w:hAnsi="Aptos" w:cs="Calibri"/>
                <w:sz w:val="20"/>
                <w:szCs w:val="18"/>
              </w:rPr>
              <w:t xml:space="preserve">An appropriate governance and reporting structure that includes a legally constituted governing board and a General Faculties Council, Academic Council, or appropriate equivalents allowing for academic faculty, staff and student participation in academic decision-making and policy review and development. </w:t>
            </w:r>
          </w:p>
          <w:p w14:paraId="5A7424B8" w14:textId="77777777" w:rsidR="002372FE" w:rsidRPr="005016CC" w:rsidRDefault="002372FE" w:rsidP="007D5177">
            <w:pPr>
              <w:rPr>
                <w:rFonts w:ascii="Aptos" w:hAnsi="Aptos" w:cs="Calibri"/>
                <w:sz w:val="20"/>
                <w:szCs w:val="18"/>
              </w:rPr>
            </w:pPr>
          </w:p>
          <w:p w14:paraId="34B1925E" w14:textId="77777777" w:rsidR="002372FE" w:rsidRPr="005016CC" w:rsidRDefault="002372FE" w:rsidP="007D5177">
            <w:pPr>
              <w:rPr>
                <w:rFonts w:ascii="Aptos" w:hAnsi="Aptos" w:cs="Calibri"/>
                <w:sz w:val="20"/>
                <w:szCs w:val="18"/>
              </w:rPr>
            </w:pPr>
            <w:r w:rsidRPr="005016CC">
              <w:rPr>
                <w:rFonts w:ascii="Aptos" w:hAnsi="Aptos" w:cs="Calibri"/>
                <w:sz w:val="20"/>
                <w:szCs w:val="18"/>
              </w:rPr>
              <w:t xml:space="preserve">Institutional focus on academic freedom and academic integrity, including clear definitions, disciplinary processes, and appropriate development among all faculty, staff and students. </w:t>
            </w:r>
          </w:p>
          <w:p w14:paraId="1B48ECBA" w14:textId="77777777" w:rsidR="002372FE" w:rsidRPr="005016CC" w:rsidRDefault="002372FE" w:rsidP="007D5177">
            <w:pPr>
              <w:rPr>
                <w:rFonts w:ascii="Aptos" w:hAnsi="Aptos" w:cs="Calibri"/>
                <w:sz w:val="20"/>
                <w:szCs w:val="18"/>
              </w:rPr>
            </w:pPr>
          </w:p>
          <w:p w14:paraId="57AE6779" w14:textId="77777777" w:rsidR="002372FE" w:rsidRPr="005016CC" w:rsidRDefault="002372FE" w:rsidP="007D5177">
            <w:pPr>
              <w:rPr>
                <w:rFonts w:ascii="Aptos" w:hAnsi="Aptos" w:cs="Calibri"/>
              </w:rPr>
            </w:pPr>
            <w:r w:rsidRPr="005016CC">
              <w:rPr>
                <w:rFonts w:ascii="Aptos" w:hAnsi="Aptos" w:cs="Calibri"/>
                <w:sz w:val="20"/>
                <w:szCs w:val="18"/>
              </w:rPr>
              <w:t>Intellectual property commitments with clear regulations relating to disputes, conflicts, appeals, due process, and protections for faculty, staff and students.</w:t>
            </w:r>
          </w:p>
        </w:tc>
      </w:tr>
    </w:tbl>
    <w:p w14:paraId="01AB51A8" w14:textId="77777777" w:rsidR="002372FE" w:rsidRDefault="002372FE" w:rsidP="002372FE">
      <w:pPr>
        <w:contextualSpacing/>
        <w:rPr>
          <w:rFonts w:ascii="Aptos" w:hAnsi="Aptos"/>
          <w:sz w:val="20"/>
          <w:szCs w:val="20"/>
        </w:rPr>
      </w:pPr>
    </w:p>
    <w:p w14:paraId="246848F0" w14:textId="77777777" w:rsidR="002372FE" w:rsidRDefault="002372FE" w:rsidP="002372FE">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4FC2EDCA" w14:textId="77777777" w:rsidR="002372FE" w:rsidRPr="00C84191" w:rsidRDefault="002372FE" w:rsidP="00E0086F">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Clear and transparent governance policies and procedures, including involvement of faculty and students in governance (e.g. GFC/Academic Council Constitution, Bylaws, etc.)</w:t>
      </w:r>
      <w:r w:rsidRPr="00C84191">
        <w:rPr>
          <w:rStyle w:val="eop"/>
          <w:rFonts w:ascii="Aptos" w:hAnsi="Aptos"/>
          <w:color w:val="000000"/>
          <w:sz w:val="20"/>
          <w:szCs w:val="20"/>
        </w:rPr>
        <w:t> </w:t>
      </w:r>
    </w:p>
    <w:p w14:paraId="04293D9F" w14:textId="77777777" w:rsidR="002372FE" w:rsidRPr="00C84191" w:rsidRDefault="002372FE" w:rsidP="00E0086F">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Identification of governance structures and membership</w:t>
      </w:r>
      <w:r w:rsidRPr="00C84191">
        <w:rPr>
          <w:rStyle w:val="eop"/>
          <w:rFonts w:ascii="Aptos" w:hAnsi="Aptos"/>
          <w:color w:val="000000"/>
          <w:sz w:val="20"/>
          <w:szCs w:val="20"/>
        </w:rPr>
        <w:t> </w:t>
      </w:r>
    </w:p>
    <w:p w14:paraId="3D2DAB11" w14:textId="77777777" w:rsidR="002372FE" w:rsidRPr="00C84191" w:rsidRDefault="002372FE" w:rsidP="00E0086F">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Strategic Plan including mission/mandate</w:t>
      </w:r>
      <w:r w:rsidRPr="00C84191">
        <w:rPr>
          <w:rStyle w:val="eop"/>
          <w:rFonts w:ascii="Aptos" w:hAnsi="Aptos"/>
          <w:color w:val="000000"/>
          <w:sz w:val="20"/>
          <w:szCs w:val="20"/>
        </w:rPr>
        <w:t> </w:t>
      </w:r>
    </w:p>
    <w:p w14:paraId="1C088EC2" w14:textId="77777777" w:rsidR="002372FE" w:rsidRPr="00C84191" w:rsidRDefault="002372FE" w:rsidP="00E0086F">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Most recent Operational and Organizational plans</w:t>
      </w:r>
      <w:r w:rsidRPr="00C84191">
        <w:rPr>
          <w:rStyle w:val="eop"/>
          <w:rFonts w:ascii="Aptos" w:hAnsi="Aptos"/>
          <w:color w:val="000000"/>
          <w:sz w:val="20"/>
          <w:szCs w:val="20"/>
        </w:rPr>
        <w:t> </w:t>
      </w:r>
    </w:p>
    <w:p w14:paraId="0F596B51" w14:textId="77777777" w:rsidR="002372FE" w:rsidRPr="00C84191" w:rsidRDefault="002372FE" w:rsidP="00E0086F">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Faculty, Staff, and Student Handbooks</w:t>
      </w:r>
      <w:r w:rsidRPr="00C84191">
        <w:rPr>
          <w:rStyle w:val="eop"/>
          <w:rFonts w:ascii="Aptos" w:hAnsi="Aptos"/>
          <w:color w:val="000000"/>
          <w:sz w:val="20"/>
          <w:szCs w:val="20"/>
        </w:rPr>
        <w:t> </w:t>
      </w:r>
    </w:p>
    <w:p w14:paraId="7476B6CC" w14:textId="77777777" w:rsidR="002372FE" w:rsidRPr="00C84191" w:rsidRDefault="002372FE" w:rsidP="00E0086F">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University/Academic Calendar  </w:t>
      </w:r>
      <w:r w:rsidRPr="00C84191">
        <w:rPr>
          <w:rStyle w:val="eop"/>
          <w:rFonts w:ascii="Aptos" w:hAnsi="Aptos"/>
          <w:color w:val="000000"/>
          <w:sz w:val="20"/>
          <w:szCs w:val="20"/>
        </w:rPr>
        <w:t> </w:t>
      </w:r>
    </w:p>
    <w:p w14:paraId="094FAF0B" w14:textId="77777777" w:rsidR="002372FE" w:rsidRPr="00C84191" w:rsidRDefault="002372FE" w:rsidP="00E0086F">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themeColor="text1"/>
          <w:sz w:val="20"/>
          <w:szCs w:val="20"/>
        </w:rPr>
        <w:t>Polices regarding Intellectual property that have clear alignment to academic freedom</w:t>
      </w:r>
      <w:r w:rsidRPr="00C84191">
        <w:rPr>
          <w:rStyle w:val="eop"/>
          <w:rFonts w:ascii="Aptos" w:hAnsi="Aptos"/>
          <w:color w:val="000000" w:themeColor="text1"/>
          <w:sz w:val="20"/>
          <w:szCs w:val="20"/>
        </w:rPr>
        <w:t> </w:t>
      </w:r>
    </w:p>
    <w:p w14:paraId="50FAE115" w14:textId="77777777" w:rsidR="002372FE" w:rsidRPr="00C84191" w:rsidRDefault="002372FE" w:rsidP="00E0086F">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Organizational chart</w:t>
      </w:r>
      <w:r w:rsidRPr="00C84191">
        <w:rPr>
          <w:rStyle w:val="eop"/>
          <w:rFonts w:ascii="Aptos" w:hAnsi="Aptos"/>
          <w:color w:val="000000"/>
          <w:sz w:val="20"/>
          <w:szCs w:val="20"/>
        </w:rPr>
        <w:t> </w:t>
      </w:r>
    </w:p>
    <w:p w14:paraId="4399C349" w14:textId="77777777" w:rsidR="002372FE" w:rsidRPr="00C84191" w:rsidRDefault="002372FE" w:rsidP="00E0086F">
      <w:pPr>
        <w:pStyle w:val="paragraph"/>
        <w:numPr>
          <w:ilvl w:val="0"/>
          <w:numId w:val="9"/>
        </w:numPr>
        <w:spacing w:before="0" w:beforeAutospacing="0" w:after="0" w:afterAutospacing="0"/>
        <w:textAlignment w:val="baseline"/>
        <w:rPr>
          <w:rStyle w:val="eop"/>
          <w:rFonts w:ascii="Aptos" w:hAnsi="Aptos"/>
          <w:sz w:val="20"/>
          <w:szCs w:val="20"/>
        </w:rPr>
      </w:pPr>
      <w:r w:rsidRPr="00C84191">
        <w:rPr>
          <w:rStyle w:val="normaltextrun"/>
          <w:rFonts w:ascii="Aptos" w:hAnsi="Aptos"/>
          <w:color w:val="000000"/>
          <w:sz w:val="20"/>
          <w:szCs w:val="20"/>
        </w:rPr>
        <w:t>Academic Freedom Policy/Statement </w:t>
      </w:r>
      <w:r w:rsidRPr="00C84191">
        <w:rPr>
          <w:rStyle w:val="eop"/>
          <w:rFonts w:ascii="Aptos" w:hAnsi="Aptos"/>
          <w:color w:val="000000"/>
          <w:sz w:val="20"/>
          <w:szCs w:val="20"/>
        </w:rPr>
        <w:t> </w:t>
      </w:r>
    </w:p>
    <w:p w14:paraId="7CE5AD7E" w14:textId="77777777" w:rsidR="002372FE" w:rsidRPr="0091313F" w:rsidRDefault="002372FE" w:rsidP="002372FE">
      <w:pPr>
        <w:pStyle w:val="paragraph"/>
        <w:spacing w:before="0" w:beforeAutospacing="0" w:after="0" w:afterAutospacing="0"/>
        <w:ind w:left="720"/>
        <w:textAlignment w:val="baseline"/>
        <w:rPr>
          <w:rFonts w:ascii="Aptos" w:hAnsi="Aptos"/>
          <w:i/>
          <w:iCs/>
          <w:sz w:val="20"/>
          <w:szCs w:val="20"/>
        </w:rPr>
      </w:pPr>
    </w:p>
    <w:p w14:paraId="123DC325" w14:textId="77777777" w:rsidR="002372FE" w:rsidRPr="00C84191" w:rsidRDefault="002372FE" w:rsidP="002372FE">
      <w:pPr>
        <w:rPr>
          <w:rFonts w:ascii="Aptos" w:hAnsi="Aptos"/>
          <w:b/>
          <w:bCs/>
        </w:rPr>
      </w:pPr>
      <w:r w:rsidRPr="00C84191">
        <w:rPr>
          <w:rFonts w:ascii="Aptos" w:hAnsi="Aptos"/>
          <w:b/>
          <w:bCs/>
        </w:rPr>
        <w:t xml:space="preserve">Based on the evidence provided, the Organization: </w:t>
      </w:r>
    </w:p>
    <w:p w14:paraId="66742C65" w14:textId="77777777" w:rsidR="002372FE" w:rsidRPr="006E21E4" w:rsidRDefault="002372FE" w:rsidP="002372FE">
      <w:pPr>
        <w:contextualSpacing/>
        <w:rPr>
          <w:rFonts w:ascii="Aptos" w:hAnsi="Aptos"/>
          <w:sz w:val="20"/>
          <w:szCs w:val="20"/>
        </w:rPr>
      </w:pPr>
      <w:r w:rsidRPr="006E21E4">
        <w:rPr>
          <w:rFonts w:ascii="Aptos" w:hAnsi="Aptos"/>
          <w:sz w:val="20"/>
          <w:szCs w:val="20"/>
        </w:rPr>
        <w:t>______ fails to meet the criteria</w:t>
      </w:r>
    </w:p>
    <w:p w14:paraId="11D80340" w14:textId="77777777" w:rsidR="002372FE" w:rsidRPr="006E21E4" w:rsidRDefault="002372FE" w:rsidP="002372FE">
      <w:pPr>
        <w:contextualSpacing/>
        <w:rPr>
          <w:rFonts w:ascii="Aptos" w:hAnsi="Aptos"/>
          <w:sz w:val="20"/>
          <w:szCs w:val="20"/>
        </w:rPr>
      </w:pPr>
      <w:r w:rsidRPr="006E21E4">
        <w:rPr>
          <w:rFonts w:ascii="Aptos" w:hAnsi="Aptos"/>
          <w:sz w:val="20"/>
          <w:szCs w:val="20"/>
        </w:rPr>
        <w:t>______ meets or exceeds the criteria</w:t>
      </w:r>
    </w:p>
    <w:p w14:paraId="27015896" w14:textId="77777777" w:rsidR="002372FE" w:rsidRPr="006E21E4" w:rsidRDefault="002372FE" w:rsidP="002372FE">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79B03E04" w14:textId="77777777" w:rsidR="002372FE" w:rsidRPr="006E21E4" w:rsidRDefault="002372FE" w:rsidP="002372FE">
      <w:pPr>
        <w:contextualSpacing/>
        <w:rPr>
          <w:rFonts w:ascii="Aptos" w:hAnsi="Aptos"/>
          <w:sz w:val="20"/>
          <w:szCs w:val="20"/>
        </w:rPr>
      </w:pPr>
    </w:p>
    <w:p w14:paraId="79482340" w14:textId="77777777" w:rsidR="002372FE" w:rsidRPr="0053703C" w:rsidRDefault="002372FE" w:rsidP="00E0086F">
      <w:pPr>
        <w:pStyle w:val="Heading2"/>
        <w:numPr>
          <w:ilvl w:val="1"/>
          <w:numId w:val="10"/>
        </w:numPr>
      </w:pPr>
      <w:r w:rsidRPr="0053703C">
        <w:t>Rationale for Determination</w:t>
      </w:r>
    </w:p>
    <w:p w14:paraId="5F7D3B92" w14:textId="77777777" w:rsidR="002372FE" w:rsidRPr="005852CF" w:rsidRDefault="002372FE" w:rsidP="002372FE">
      <w:pPr>
        <w:rPr>
          <w:rFonts w:ascii="Aptos" w:hAnsi="Aptos"/>
        </w:rPr>
      </w:pPr>
      <w:r w:rsidRPr="006E21E4">
        <w:rPr>
          <w:rFonts w:ascii="Aptos" w:hAnsi="Aptos"/>
        </w:rPr>
        <w:t>The rationale is….</w:t>
      </w:r>
    </w:p>
    <w:p w14:paraId="62632A7A" w14:textId="77777777" w:rsidR="002372FE" w:rsidRPr="0053703C" w:rsidRDefault="002372FE" w:rsidP="00996490">
      <w:pPr>
        <w:pStyle w:val="Heading2"/>
      </w:pPr>
      <w:r w:rsidRPr="0053703C">
        <w:t>Conditions/Recommendations</w:t>
      </w:r>
    </w:p>
    <w:p w14:paraId="11616D61" w14:textId="77777777" w:rsidR="002372FE" w:rsidRPr="00C32893" w:rsidRDefault="002372FE" w:rsidP="00E0086F">
      <w:pPr>
        <w:pStyle w:val="ListParagraph"/>
        <w:numPr>
          <w:ilvl w:val="0"/>
          <w:numId w:val="7"/>
        </w:numPr>
        <w:spacing w:after="160"/>
        <w:rPr>
          <w:rFonts w:ascii="Aptos" w:hAnsi="Aptos"/>
        </w:rPr>
      </w:pPr>
      <w:r w:rsidRPr="00C32893">
        <w:rPr>
          <w:rFonts w:ascii="Aptos" w:hAnsi="Aptos"/>
        </w:rPr>
        <w:t>Condition 1</w:t>
      </w:r>
    </w:p>
    <w:p w14:paraId="61ADDAA8" w14:textId="3DF09FA8" w:rsidR="002372FE" w:rsidRPr="00DE5DF3" w:rsidRDefault="002372FE" w:rsidP="00E0086F">
      <w:pPr>
        <w:pStyle w:val="ListParagraph"/>
        <w:numPr>
          <w:ilvl w:val="0"/>
          <w:numId w:val="7"/>
        </w:numPr>
        <w:spacing w:after="160"/>
        <w:rPr>
          <w:rFonts w:ascii="Aptos" w:hAnsi="Aptos"/>
        </w:rPr>
      </w:pPr>
      <w:r w:rsidRPr="00C32893">
        <w:rPr>
          <w:rFonts w:ascii="Aptos" w:hAnsi="Aptos"/>
        </w:rPr>
        <w:t xml:space="preserve">Condition </w:t>
      </w:r>
      <w:r w:rsidR="00996490">
        <w:rPr>
          <w:rFonts w:ascii="Aptos" w:hAnsi="Aptos"/>
        </w:rPr>
        <w:t>2</w:t>
      </w:r>
    </w:p>
    <w:tbl>
      <w:tblPr>
        <w:tblStyle w:val="TableGrid"/>
        <w:tblW w:w="5000" w:type="pct"/>
        <w:tblLook w:val="04A0" w:firstRow="1" w:lastRow="0" w:firstColumn="1" w:lastColumn="0" w:noHBand="0" w:noVBand="1"/>
      </w:tblPr>
      <w:tblGrid>
        <w:gridCol w:w="10070"/>
      </w:tblGrid>
      <w:tr w:rsidR="002372FE" w:rsidRPr="006E21E4" w14:paraId="52C9C157" w14:textId="77777777" w:rsidTr="00442B7D">
        <w:tc>
          <w:tcPr>
            <w:tcW w:w="5035" w:type="dxa"/>
            <w:shd w:val="clear" w:color="auto" w:fill="005072"/>
          </w:tcPr>
          <w:p w14:paraId="65AA569D" w14:textId="77777777" w:rsidR="002372FE" w:rsidRPr="00442B7D" w:rsidRDefault="002372FE" w:rsidP="007D5177">
            <w:pPr>
              <w:jc w:val="center"/>
              <w:rPr>
                <w:rFonts w:ascii="Aptos" w:hAnsi="Aptos"/>
                <w:b/>
                <w:bCs/>
                <w:color w:val="FFFFFF" w:themeColor="background1"/>
              </w:rPr>
            </w:pPr>
            <w:r w:rsidRPr="00442B7D">
              <w:rPr>
                <w:rFonts w:ascii="Aptos" w:hAnsi="Aptos"/>
                <w:b/>
                <w:bCs/>
                <w:color w:val="FFFFFF" w:themeColor="background1"/>
              </w:rPr>
              <w:t>Standard 1: Criteria for Assessment and SVT Comments</w:t>
            </w:r>
          </w:p>
        </w:tc>
      </w:tr>
      <w:tr w:rsidR="002372FE" w:rsidRPr="006E21E4" w14:paraId="57FC733F" w14:textId="77777777" w:rsidTr="00463BEA">
        <w:tc>
          <w:tcPr>
            <w:tcW w:w="5035" w:type="dxa"/>
          </w:tcPr>
          <w:p w14:paraId="210B0D8F" w14:textId="77777777" w:rsidR="002372FE" w:rsidRPr="005016CC" w:rsidRDefault="002372FE" w:rsidP="00E0086F">
            <w:pPr>
              <w:pStyle w:val="paragraph"/>
              <w:numPr>
                <w:ilvl w:val="0"/>
                <w:numId w:val="8"/>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The organization has administrative capacity, through its leadership and governance structure, capable of organizing and managing a reputable, effective, and high-quality degree-granting organization with a governing board that has both authority and independence.</w:t>
            </w:r>
            <w:r w:rsidRPr="005016CC">
              <w:rPr>
                <w:rStyle w:val="eop"/>
                <w:rFonts w:ascii="Aptos" w:eastAsiaTheme="majorEastAsia" w:hAnsi="Aptos"/>
                <w:sz w:val="20"/>
                <w:szCs w:val="20"/>
              </w:rPr>
              <w:t> </w:t>
            </w:r>
          </w:p>
          <w:p w14:paraId="4013F074" w14:textId="77777777" w:rsidR="002372FE" w:rsidRPr="005016CC" w:rsidRDefault="002372FE" w:rsidP="007D5177">
            <w:pPr>
              <w:pStyle w:val="paragraph"/>
              <w:spacing w:before="0" w:beforeAutospacing="0" w:after="0" w:afterAutospacing="0"/>
              <w:ind w:left="720"/>
              <w:textAlignment w:val="baseline"/>
              <w:rPr>
                <w:rFonts w:ascii="Aptos" w:hAnsi="Aptos"/>
                <w:b/>
                <w:bCs/>
                <w:sz w:val="20"/>
                <w:szCs w:val="20"/>
              </w:rPr>
            </w:pPr>
          </w:p>
        </w:tc>
      </w:tr>
      <w:tr w:rsidR="002372FE" w:rsidRPr="006E21E4" w14:paraId="4642D32C" w14:textId="77777777" w:rsidTr="00AB1B94">
        <w:tc>
          <w:tcPr>
            <w:tcW w:w="5035" w:type="dxa"/>
            <w:shd w:val="clear" w:color="auto" w:fill="EAF6FC"/>
          </w:tcPr>
          <w:p w14:paraId="0ADE2150"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t>Site Visit Team Comments</w:t>
            </w:r>
          </w:p>
          <w:p w14:paraId="06B0C359"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p>
        </w:tc>
      </w:tr>
      <w:tr w:rsidR="002372FE" w:rsidRPr="006E21E4" w14:paraId="1B7952BE" w14:textId="77777777" w:rsidTr="00463BEA">
        <w:tc>
          <w:tcPr>
            <w:tcW w:w="5035" w:type="dxa"/>
          </w:tcPr>
          <w:p w14:paraId="0CAC0E69" w14:textId="77777777" w:rsidR="002372FE" w:rsidRPr="005016CC" w:rsidRDefault="002372FE" w:rsidP="00E0086F">
            <w:pPr>
              <w:pStyle w:val="paragraph"/>
              <w:numPr>
                <w:ilvl w:val="0"/>
                <w:numId w:val="8"/>
              </w:numPr>
              <w:spacing w:before="0" w:beforeAutospacing="0" w:after="0" w:afterAutospacing="0"/>
              <w:textAlignment w:val="baseline"/>
              <w:rPr>
                <w:rFonts w:ascii="Aptos" w:hAnsi="Aptos"/>
                <w:sz w:val="20"/>
                <w:szCs w:val="20"/>
              </w:rPr>
            </w:pPr>
            <w:r w:rsidRPr="005016CC">
              <w:rPr>
                <w:rStyle w:val="normaltextrun"/>
                <w:rFonts w:ascii="Aptos" w:hAnsi="Aptos"/>
                <w:sz w:val="20"/>
                <w:szCs w:val="20"/>
              </w:rPr>
              <w:t>The organization’s governing board has adequate provisions for appropriate academic staff participation in academic decision making, and for faculty, staff, students, and administrators to be involved in the development of organizational policies. </w:t>
            </w:r>
            <w:r w:rsidRPr="005016CC">
              <w:rPr>
                <w:rStyle w:val="eop"/>
                <w:rFonts w:ascii="Aptos" w:eastAsiaTheme="majorEastAsia" w:hAnsi="Aptos"/>
                <w:sz w:val="20"/>
                <w:szCs w:val="20"/>
              </w:rPr>
              <w:t> </w:t>
            </w:r>
          </w:p>
          <w:p w14:paraId="3FB19A4D" w14:textId="77777777" w:rsidR="002372FE" w:rsidRPr="005016CC" w:rsidRDefault="002372FE" w:rsidP="007D5177">
            <w:pPr>
              <w:rPr>
                <w:rFonts w:ascii="Aptos" w:hAnsi="Aptos"/>
                <w:sz w:val="20"/>
              </w:rPr>
            </w:pPr>
          </w:p>
        </w:tc>
      </w:tr>
      <w:tr w:rsidR="002372FE" w:rsidRPr="006E21E4" w14:paraId="1DCD905A" w14:textId="77777777" w:rsidTr="00AB1B94">
        <w:tc>
          <w:tcPr>
            <w:tcW w:w="5035" w:type="dxa"/>
            <w:shd w:val="clear" w:color="auto" w:fill="EAF6FC"/>
          </w:tcPr>
          <w:p w14:paraId="1868038A"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lastRenderedPageBreak/>
              <w:t>Site Visit Team Comments</w:t>
            </w:r>
          </w:p>
          <w:p w14:paraId="695C87AB"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p>
        </w:tc>
      </w:tr>
      <w:tr w:rsidR="002372FE" w:rsidRPr="006E21E4" w14:paraId="0F22A34E" w14:textId="77777777" w:rsidTr="00463BEA">
        <w:tc>
          <w:tcPr>
            <w:tcW w:w="5035" w:type="dxa"/>
          </w:tcPr>
          <w:p w14:paraId="72278F61" w14:textId="77777777" w:rsidR="002372FE" w:rsidRPr="005016CC" w:rsidRDefault="002372FE" w:rsidP="00E0086F">
            <w:pPr>
              <w:pStyle w:val="paragraph"/>
              <w:numPr>
                <w:ilvl w:val="0"/>
                <w:numId w:val="8"/>
              </w:numPr>
              <w:spacing w:before="0" w:beforeAutospacing="0" w:after="0" w:afterAutospacing="0"/>
              <w:textAlignment w:val="baseline"/>
              <w:rPr>
                <w:rFonts w:ascii="Aptos" w:hAnsi="Aptos"/>
                <w:sz w:val="20"/>
                <w:szCs w:val="20"/>
              </w:rPr>
            </w:pPr>
            <w:r w:rsidRPr="005016CC">
              <w:rPr>
                <w:rStyle w:val="normaltextrun"/>
                <w:rFonts w:ascii="Aptos" w:hAnsi="Aptos"/>
                <w:sz w:val="20"/>
                <w:szCs w:val="20"/>
              </w:rPr>
              <w:t>The organization has an academic freedom policy and procedures and demonstrates that it fosters an environment where students and academic staff can display a high degree of intellectual independence.  </w:t>
            </w:r>
            <w:r w:rsidRPr="005016CC">
              <w:rPr>
                <w:rStyle w:val="eop"/>
                <w:rFonts w:ascii="Aptos" w:eastAsiaTheme="majorEastAsia" w:hAnsi="Aptos"/>
                <w:sz w:val="20"/>
                <w:szCs w:val="20"/>
              </w:rPr>
              <w:t> </w:t>
            </w:r>
          </w:p>
          <w:p w14:paraId="72B46F66" w14:textId="77777777" w:rsidR="002372FE" w:rsidRPr="005016CC" w:rsidRDefault="002372FE" w:rsidP="007D5177">
            <w:pPr>
              <w:rPr>
                <w:rFonts w:ascii="Aptos" w:hAnsi="Aptos"/>
                <w:sz w:val="20"/>
              </w:rPr>
            </w:pPr>
          </w:p>
        </w:tc>
      </w:tr>
      <w:tr w:rsidR="002372FE" w:rsidRPr="006E21E4" w14:paraId="329FB5D7" w14:textId="77777777" w:rsidTr="00AB1B94">
        <w:tc>
          <w:tcPr>
            <w:tcW w:w="5035" w:type="dxa"/>
            <w:shd w:val="clear" w:color="auto" w:fill="EAF6FC"/>
          </w:tcPr>
          <w:p w14:paraId="3EDF9591"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t>Site Visit Team Comments</w:t>
            </w:r>
          </w:p>
          <w:p w14:paraId="2279B84A"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p>
        </w:tc>
      </w:tr>
      <w:tr w:rsidR="002372FE" w:rsidRPr="006E21E4" w14:paraId="0578BC1F" w14:textId="77777777" w:rsidTr="00463BEA">
        <w:tc>
          <w:tcPr>
            <w:tcW w:w="5035" w:type="dxa"/>
          </w:tcPr>
          <w:p w14:paraId="340FD378" w14:textId="77777777" w:rsidR="002372FE" w:rsidRPr="005016CC" w:rsidRDefault="002372FE" w:rsidP="00E0086F">
            <w:pPr>
              <w:pStyle w:val="paragraph"/>
              <w:numPr>
                <w:ilvl w:val="0"/>
                <w:numId w:val="8"/>
              </w:numPr>
              <w:spacing w:before="0" w:beforeAutospacing="0" w:after="0" w:afterAutospacing="0"/>
              <w:textAlignment w:val="baseline"/>
              <w:rPr>
                <w:rFonts w:ascii="Aptos" w:hAnsi="Aptos"/>
                <w:sz w:val="20"/>
                <w:szCs w:val="20"/>
              </w:rPr>
            </w:pPr>
            <w:r w:rsidRPr="005016CC">
              <w:rPr>
                <w:rStyle w:val="normaltextrun"/>
                <w:rFonts w:ascii="Aptos" w:hAnsi="Aptos"/>
                <w:sz w:val="20"/>
                <w:szCs w:val="20"/>
              </w:rPr>
              <w:t>The organization’s planning processes are comprehensive and link various planning initiatives with performance indicators and benchmarks. </w:t>
            </w:r>
            <w:r w:rsidRPr="005016CC">
              <w:rPr>
                <w:rStyle w:val="eop"/>
                <w:rFonts w:ascii="Aptos" w:eastAsiaTheme="majorEastAsia" w:hAnsi="Aptos"/>
                <w:sz w:val="20"/>
                <w:szCs w:val="20"/>
              </w:rPr>
              <w:t> </w:t>
            </w:r>
          </w:p>
          <w:p w14:paraId="5E307EAE" w14:textId="77777777" w:rsidR="002372FE" w:rsidRPr="005016CC" w:rsidRDefault="002372FE" w:rsidP="007D5177">
            <w:pPr>
              <w:rPr>
                <w:rFonts w:ascii="Aptos" w:hAnsi="Aptos"/>
                <w:sz w:val="20"/>
              </w:rPr>
            </w:pPr>
          </w:p>
        </w:tc>
      </w:tr>
      <w:tr w:rsidR="002372FE" w:rsidRPr="006E21E4" w14:paraId="7C33CB63" w14:textId="77777777" w:rsidTr="00AB1B94">
        <w:tc>
          <w:tcPr>
            <w:tcW w:w="5035" w:type="dxa"/>
            <w:shd w:val="clear" w:color="auto" w:fill="EAF6FC"/>
          </w:tcPr>
          <w:p w14:paraId="03D59BC0"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t>Site Visit Team Comments</w:t>
            </w:r>
          </w:p>
          <w:p w14:paraId="34C4C7DA"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p>
        </w:tc>
      </w:tr>
      <w:tr w:rsidR="002372FE" w:rsidRPr="006E21E4" w14:paraId="54A6E734" w14:textId="77777777" w:rsidTr="00463BEA">
        <w:tc>
          <w:tcPr>
            <w:tcW w:w="5035" w:type="dxa"/>
          </w:tcPr>
          <w:p w14:paraId="6A0E82F5" w14:textId="77777777" w:rsidR="002372FE" w:rsidRPr="005016CC" w:rsidRDefault="002372FE" w:rsidP="00E0086F">
            <w:pPr>
              <w:pStyle w:val="ListParagraph"/>
              <w:numPr>
                <w:ilvl w:val="0"/>
                <w:numId w:val="8"/>
              </w:numPr>
              <w:rPr>
                <w:rStyle w:val="eop"/>
                <w:rFonts w:ascii="Aptos" w:hAnsi="Aptos"/>
                <w:sz w:val="20"/>
              </w:rPr>
            </w:pPr>
            <w:r w:rsidRPr="005016CC">
              <w:rPr>
                <w:rStyle w:val="normaltextrun"/>
                <w:rFonts w:ascii="Aptos" w:hAnsi="Aptos"/>
                <w:sz w:val="20"/>
              </w:rPr>
              <w:t>Processes exist by which the organization assesses, periodically, all units and operations with input from external experts and consequently acts on its assessments of programs, academic units, and service areas. Staff, Faculty, and Senior Leaders who are required to collect, manipulate, analyse, or interpret data receive training that enables them to undertake these activities accurately, ethically, and securely. </w:t>
            </w:r>
            <w:r w:rsidRPr="005016CC">
              <w:rPr>
                <w:rStyle w:val="eop"/>
                <w:rFonts w:ascii="Aptos" w:hAnsi="Aptos"/>
                <w:sz w:val="20"/>
              </w:rPr>
              <w:t> </w:t>
            </w:r>
          </w:p>
          <w:p w14:paraId="49C2E3B8" w14:textId="77777777" w:rsidR="002372FE" w:rsidRPr="005016CC" w:rsidRDefault="002372FE" w:rsidP="007D5177">
            <w:pPr>
              <w:pStyle w:val="ListParagraph"/>
              <w:rPr>
                <w:rFonts w:ascii="Aptos" w:hAnsi="Aptos"/>
                <w:sz w:val="20"/>
              </w:rPr>
            </w:pPr>
          </w:p>
        </w:tc>
      </w:tr>
      <w:tr w:rsidR="002372FE" w:rsidRPr="006E21E4" w14:paraId="57901F8C" w14:textId="77777777" w:rsidTr="00AB1B94">
        <w:tc>
          <w:tcPr>
            <w:tcW w:w="5035" w:type="dxa"/>
            <w:shd w:val="clear" w:color="auto" w:fill="EAF6FC"/>
          </w:tcPr>
          <w:p w14:paraId="22009C2B"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t>Site Visit Team Comments</w:t>
            </w:r>
          </w:p>
          <w:p w14:paraId="0C73F524" w14:textId="77777777" w:rsidR="002372FE" w:rsidRPr="005016CC" w:rsidRDefault="002372FE" w:rsidP="007D5177">
            <w:pPr>
              <w:rPr>
                <w:rStyle w:val="normaltextrun"/>
                <w:rFonts w:ascii="Aptos" w:hAnsi="Aptos"/>
                <w:sz w:val="20"/>
              </w:rPr>
            </w:pPr>
          </w:p>
        </w:tc>
      </w:tr>
    </w:tbl>
    <w:p w14:paraId="4F1723E9" w14:textId="77777777" w:rsidR="002372FE" w:rsidRDefault="002372FE" w:rsidP="002372FE">
      <w:pPr>
        <w:autoSpaceDE w:val="0"/>
        <w:autoSpaceDN w:val="0"/>
        <w:adjustRightInd w:val="0"/>
        <w:rPr>
          <w:rFonts w:ascii="Aptos" w:hAnsi="Aptos" w:cs="Cambria"/>
          <w:kern w:val="0"/>
          <w:sz w:val="20"/>
          <w:szCs w:val="20"/>
        </w:rPr>
      </w:pPr>
    </w:p>
    <w:p w14:paraId="386584D3" w14:textId="77777777" w:rsidR="00A036AC" w:rsidRDefault="00A036AC" w:rsidP="00A036AC">
      <w:pPr>
        <w:pStyle w:val="Heading1"/>
        <w:rPr>
          <w:rFonts w:cs="Cambria"/>
          <w:kern w:val="0"/>
          <w:sz w:val="20"/>
          <w:szCs w:val="20"/>
        </w:rPr>
      </w:pPr>
      <w:r w:rsidRPr="006E21E4">
        <w:t>Standard 2: Resource Sufficiency</w:t>
      </w:r>
      <w:r>
        <w:t xml:space="preserve">, </w:t>
      </w:r>
      <w:r w:rsidRPr="006E21E4">
        <w:t>Stability</w:t>
      </w:r>
      <w:r>
        <w:t>, and Student Protections</w:t>
      </w:r>
    </w:p>
    <w:tbl>
      <w:tblPr>
        <w:tblStyle w:val="TableGrid"/>
        <w:tblW w:w="5000" w:type="pct"/>
        <w:tblLook w:val="04A0" w:firstRow="1" w:lastRow="0" w:firstColumn="1" w:lastColumn="0" w:noHBand="0" w:noVBand="1"/>
      </w:tblPr>
      <w:tblGrid>
        <w:gridCol w:w="10070"/>
      </w:tblGrid>
      <w:tr w:rsidR="00A036AC" w:rsidRPr="006E21E4" w14:paraId="4AE987D1" w14:textId="77777777" w:rsidTr="00442B7D">
        <w:tc>
          <w:tcPr>
            <w:tcW w:w="10070" w:type="dxa"/>
            <w:shd w:val="clear" w:color="auto" w:fill="005072"/>
          </w:tcPr>
          <w:p w14:paraId="29A570EA" w14:textId="4D78AE85" w:rsidR="00A036AC" w:rsidRPr="00442B7D" w:rsidRDefault="00996490" w:rsidP="00996490">
            <w:pPr>
              <w:rPr>
                <w:rFonts w:ascii="Aptos" w:hAnsi="Aptos"/>
                <w:b/>
                <w:bCs/>
                <w:color w:val="FFFFFF" w:themeColor="background1"/>
                <w:szCs w:val="22"/>
              </w:rPr>
            </w:pPr>
            <w:r w:rsidRPr="00442B7D">
              <w:rPr>
                <w:rFonts w:ascii="Aptos" w:hAnsi="Aptos"/>
                <w:b/>
                <w:bCs/>
                <w:color w:val="FFFFFF" w:themeColor="background1"/>
                <w:szCs w:val="22"/>
              </w:rPr>
              <w:t xml:space="preserve">2) </w:t>
            </w:r>
            <w:r w:rsidR="00A036AC" w:rsidRPr="00442B7D">
              <w:rPr>
                <w:rFonts w:ascii="Aptos" w:hAnsi="Aptos"/>
                <w:b/>
                <w:bCs/>
                <w:color w:val="FFFFFF" w:themeColor="background1"/>
                <w:szCs w:val="22"/>
              </w:rPr>
              <w:t>Resource Sufficiency, organizational stability, and student protections.</w:t>
            </w:r>
          </w:p>
        </w:tc>
      </w:tr>
      <w:tr w:rsidR="00A036AC" w:rsidRPr="006E21E4" w14:paraId="799B4605" w14:textId="77777777" w:rsidTr="00996490">
        <w:tc>
          <w:tcPr>
            <w:tcW w:w="10070" w:type="dxa"/>
            <w:shd w:val="clear" w:color="auto" w:fill="EAF6FC"/>
          </w:tcPr>
          <w:p w14:paraId="7C0C2959" w14:textId="77777777" w:rsidR="00A036AC" w:rsidRPr="005016CC" w:rsidRDefault="00A036AC" w:rsidP="007D5177">
            <w:pPr>
              <w:contextualSpacing/>
              <w:jc w:val="center"/>
              <w:rPr>
                <w:rFonts w:ascii="Aptos" w:hAnsi="Aptos" w:cstheme="minorHAnsi"/>
                <w:b/>
                <w:bCs/>
                <w:szCs w:val="22"/>
              </w:rPr>
            </w:pPr>
            <w:r w:rsidRPr="005016CC">
              <w:rPr>
                <w:rFonts w:ascii="Aptos" w:hAnsi="Aptos" w:cstheme="minorHAnsi"/>
                <w:b/>
                <w:bCs/>
                <w:szCs w:val="22"/>
              </w:rPr>
              <w:t>AREAS OF FOCUS</w:t>
            </w:r>
          </w:p>
        </w:tc>
      </w:tr>
      <w:tr w:rsidR="00A036AC" w:rsidRPr="006E21E4" w14:paraId="7C2C8A4C" w14:textId="77777777" w:rsidTr="007D5177">
        <w:tc>
          <w:tcPr>
            <w:tcW w:w="10070" w:type="dxa"/>
          </w:tcPr>
          <w:p w14:paraId="54DA3669" w14:textId="77777777" w:rsidR="00A036AC" w:rsidRPr="005016CC" w:rsidRDefault="00A036AC" w:rsidP="007D5177">
            <w:pPr>
              <w:rPr>
                <w:rFonts w:ascii="Aptos" w:hAnsi="Aptos" w:cstheme="minorHAnsi"/>
                <w:sz w:val="20"/>
                <w:szCs w:val="18"/>
                <w:shd w:val="clear" w:color="auto" w:fill="FFFFFF"/>
              </w:rPr>
            </w:pPr>
            <w:r w:rsidRPr="005016CC">
              <w:rPr>
                <w:rFonts w:ascii="Aptos" w:hAnsi="Aptos" w:cstheme="minorHAnsi"/>
                <w:sz w:val="20"/>
                <w:szCs w:val="18"/>
                <w:shd w:val="clear" w:color="auto" w:fill="FFFFFF"/>
              </w:rPr>
              <w:t xml:space="preserve">Financial management policies and practices, resources, and appropriate multiyear planning to provide a stable working and learning environment, to ensure enrolled students can complete their education, and to provide staff and faculty with ongoing professional development. </w:t>
            </w:r>
          </w:p>
          <w:p w14:paraId="52663914" w14:textId="77777777" w:rsidR="00A036AC" w:rsidRPr="005016CC" w:rsidRDefault="00A036AC" w:rsidP="007D5177">
            <w:pPr>
              <w:rPr>
                <w:rFonts w:ascii="Aptos" w:hAnsi="Aptos" w:cstheme="minorHAnsi"/>
                <w:sz w:val="20"/>
                <w:szCs w:val="18"/>
                <w:shd w:val="clear" w:color="auto" w:fill="FFFFFF"/>
              </w:rPr>
            </w:pPr>
          </w:p>
          <w:p w14:paraId="36A8936D" w14:textId="77777777" w:rsidR="00A036AC" w:rsidRPr="006E21E4" w:rsidRDefault="00A036AC" w:rsidP="007D5177">
            <w:pPr>
              <w:contextualSpacing/>
              <w:rPr>
                <w:rFonts w:ascii="Aptos" w:hAnsi="Aptos" w:cs="Calibri"/>
                <w:color w:val="000000"/>
              </w:rPr>
            </w:pPr>
            <w:r w:rsidRPr="005016CC">
              <w:rPr>
                <w:rFonts w:ascii="Aptos" w:hAnsi="Aptos" w:cstheme="minorHAnsi"/>
                <w:sz w:val="20"/>
                <w:szCs w:val="18"/>
                <w:shd w:val="clear" w:color="auto" w:fill="FFFFFF"/>
              </w:rPr>
              <w:t xml:space="preserve">Sufficient student services such as mental health supports, academic advising, career advising/placement and facilities are in place to promote quality of student life outside the classroom. </w:t>
            </w:r>
          </w:p>
        </w:tc>
      </w:tr>
    </w:tbl>
    <w:p w14:paraId="53C26D4F" w14:textId="77777777" w:rsidR="00A036AC" w:rsidRDefault="00A036AC" w:rsidP="00A036AC">
      <w:pPr>
        <w:contextualSpacing/>
        <w:rPr>
          <w:rFonts w:ascii="Aptos" w:hAnsi="Aptos"/>
          <w:b/>
          <w:bCs/>
          <w:sz w:val="20"/>
          <w:szCs w:val="20"/>
        </w:rPr>
      </w:pPr>
    </w:p>
    <w:p w14:paraId="64E85886" w14:textId="77777777" w:rsidR="00A036AC" w:rsidRDefault="00A036AC" w:rsidP="00A036AC">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4098EAF1"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Concise history of the institution focusing on delivery of post-secondary educational experiences </w:t>
      </w:r>
    </w:p>
    <w:p w14:paraId="4579E65C"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Most recent Annual Report </w:t>
      </w:r>
    </w:p>
    <w:p w14:paraId="708723D9"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Most recent Business, Academic, Strategic Enrolment Management plans (or equivalent)  </w:t>
      </w:r>
    </w:p>
    <w:p w14:paraId="0B77202A"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Description of how the institution is addressing its Investment Management Agreement (Campus Alberta publicly funded institutions only) </w:t>
      </w:r>
    </w:p>
    <w:p w14:paraId="7419A71F"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Policies requiring the regular audit of financial methods, performance and stability by a qualified third-party accountant in accordance with generally accepted accounting practices </w:t>
      </w:r>
    </w:p>
    <w:p w14:paraId="172D557D"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Institutional reports/assessments that convey the following: </w:t>
      </w:r>
    </w:p>
    <w:p w14:paraId="41354E63"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Sufficient and appropriately trained and experienced faculty and staff, including full-time tenure-track faculty or equivalent, </w:t>
      </w:r>
    </w:p>
    <w:p w14:paraId="350D0BB9"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Library holdings appropriate to support all academic programs, </w:t>
      </w:r>
    </w:p>
    <w:p w14:paraId="5087974A"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Information Technology (IT) infrastructure: that provides reasonable and secure levels of access on and off campus, </w:t>
      </w:r>
    </w:p>
    <w:p w14:paraId="7CC3DEFA"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Physical infrastructure/Space: classrooms, labs, meeting spaces, equipment, technology and research facilities </w:t>
      </w:r>
    </w:p>
    <w:p w14:paraId="014E08A5"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Established transfer agreements/processes </w:t>
      </w:r>
    </w:p>
    <w:p w14:paraId="29AE641B" w14:textId="77777777" w:rsidR="00A036AC" w:rsidRPr="00C84191" w:rsidRDefault="00A036AC" w:rsidP="00E0086F">
      <w:pPr>
        <w:pStyle w:val="ListParagraph"/>
        <w:numPr>
          <w:ilvl w:val="0"/>
          <w:numId w:val="13"/>
        </w:numPr>
        <w:spacing w:after="160"/>
        <w:rPr>
          <w:rFonts w:ascii="Aptos" w:hAnsi="Aptos"/>
          <w:b/>
          <w:bCs/>
          <w:sz w:val="20"/>
          <w:szCs w:val="20"/>
        </w:rPr>
      </w:pPr>
      <w:r w:rsidRPr="00C84191">
        <w:rPr>
          <w:rFonts w:ascii="Aptos" w:hAnsi="Aptos"/>
          <w:sz w:val="20"/>
          <w:szCs w:val="20"/>
        </w:rPr>
        <w:lastRenderedPageBreak/>
        <w:t>Policies and procedures that protect student interests in the following areas: security of academic student records with assurance of continued access beyond attendance period; payment schedule of fees and charges; student dismissal; and withdrawal and refunds.</w:t>
      </w:r>
    </w:p>
    <w:p w14:paraId="22432233" w14:textId="77777777" w:rsidR="00A036AC" w:rsidRPr="00C84191" w:rsidRDefault="00A036AC" w:rsidP="00A036AC">
      <w:pPr>
        <w:rPr>
          <w:rFonts w:ascii="Aptos" w:hAnsi="Aptos"/>
          <w:b/>
          <w:bCs/>
        </w:rPr>
      </w:pPr>
      <w:r w:rsidRPr="00C84191">
        <w:rPr>
          <w:rFonts w:ascii="Aptos" w:hAnsi="Aptos"/>
          <w:b/>
          <w:bCs/>
        </w:rPr>
        <w:t xml:space="preserve">Based on the evidence provided, the Organization: </w:t>
      </w:r>
    </w:p>
    <w:p w14:paraId="0483BAF6" w14:textId="77777777" w:rsidR="00A036AC" w:rsidRPr="006E21E4" w:rsidRDefault="00A036AC" w:rsidP="00A036AC">
      <w:pPr>
        <w:contextualSpacing/>
        <w:rPr>
          <w:rFonts w:ascii="Aptos" w:hAnsi="Aptos"/>
          <w:sz w:val="20"/>
          <w:szCs w:val="20"/>
        </w:rPr>
      </w:pPr>
      <w:r w:rsidRPr="006E21E4">
        <w:rPr>
          <w:rFonts w:ascii="Aptos" w:hAnsi="Aptos"/>
          <w:sz w:val="20"/>
          <w:szCs w:val="20"/>
        </w:rPr>
        <w:t>______ fails to meet the criteria</w:t>
      </w:r>
    </w:p>
    <w:p w14:paraId="4CA82295" w14:textId="77777777" w:rsidR="00A036AC" w:rsidRPr="006E21E4" w:rsidRDefault="00A036AC" w:rsidP="00A036AC">
      <w:pPr>
        <w:contextualSpacing/>
        <w:rPr>
          <w:rFonts w:ascii="Aptos" w:hAnsi="Aptos"/>
          <w:sz w:val="20"/>
          <w:szCs w:val="20"/>
        </w:rPr>
      </w:pPr>
      <w:r w:rsidRPr="006E21E4">
        <w:rPr>
          <w:rFonts w:ascii="Aptos" w:hAnsi="Aptos"/>
          <w:sz w:val="20"/>
          <w:szCs w:val="20"/>
        </w:rPr>
        <w:t>______ meets or exceeds the criteria</w:t>
      </w:r>
    </w:p>
    <w:p w14:paraId="69437A97" w14:textId="77777777" w:rsidR="00A036AC" w:rsidRPr="006E21E4" w:rsidRDefault="00A036AC" w:rsidP="00A036AC">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5CC2EDE3" w14:textId="77777777" w:rsidR="00A036AC" w:rsidRPr="006E21E4" w:rsidRDefault="00A036AC" w:rsidP="00A036AC">
      <w:pPr>
        <w:contextualSpacing/>
        <w:rPr>
          <w:rFonts w:ascii="Aptos" w:hAnsi="Aptos"/>
          <w:sz w:val="20"/>
          <w:szCs w:val="20"/>
        </w:rPr>
      </w:pPr>
    </w:p>
    <w:p w14:paraId="3D2D010C" w14:textId="77777777" w:rsidR="00A036AC" w:rsidRPr="0053703C" w:rsidRDefault="00A036AC" w:rsidP="00E97377">
      <w:pPr>
        <w:pStyle w:val="Heading2"/>
      </w:pPr>
      <w:r w:rsidRPr="0053703C">
        <w:t>Rationale for Determination</w:t>
      </w:r>
    </w:p>
    <w:p w14:paraId="028DEC33" w14:textId="77777777" w:rsidR="00A036AC" w:rsidRPr="005852CF" w:rsidRDefault="00A036AC" w:rsidP="00A036AC">
      <w:pPr>
        <w:rPr>
          <w:rFonts w:ascii="Aptos" w:hAnsi="Aptos"/>
        </w:rPr>
      </w:pPr>
      <w:r w:rsidRPr="006E21E4">
        <w:rPr>
          <w:rFonts w:ascii="Aptos" w:hAnsi="Aptos"/>
        </w:rPr>
        <w:t>The rationale is….</w:t>
      </w:r>
    </w:p>
    <w:p w14:paraId="19AB14E8" w14:textId="77777777" w:rsidR="00A036AC" w:rsidRPr="0053703C" w:rsidRDefault="00A036AC" w:rsidP="00E97377">
      <w:pPr>
        <w:pStyle w:val="Heading2"/>
      </w:pPr>
      <w:r w:rsidRPr="0053703C">
        <w:t>Conditions/Recommendations</w:t>
      </w:r>
    </w:p>
    <w:p w14:paraId="534DBA7C" w14:textId="77777777" w:rsidR="00A036AC" w:rsidRPr="00C32893" w:rsidRDefault="00A036AC" w:rsidP="00E0086F">
      <w:pPr>
        <w:pStyle w:val="ListParagraph"/>
        <w:numPr>
          <w:ilvl w:val="0"/>
          <w:numId w:val="18"/>
        </w:numPr>
        <w:spacing w:after="160"/>
        <w:rPr>
          <w:rFonts w:ascii="Aptos" w:hAnsi="Aptos"/>
        </w:rPr>
      </w:pPr>
      <w:r w:rsidRPr="00C32893">
        <w:rPr>
          <w:rFonts w:ascii="Aptos" w:hAnsi="Aptos"/>
        </w:rPr>
        <w:t>Condition 1</w:t>
      </w:r>
    </w:p>
    <w:p w14:paraId="67F80C59" w14:textId="77777777" w:rsidR="00A036AC" w:rsidRPr="00DE5DF3" w:rsidRDefault="00A036AC" w:rsidP="00E0086F">
      <w:pPr>
        <w:pStyle w:val="ListParagraph"/>
        <w:numPr>
          <w:ilvl w:val="0"/>
          <w:numId w:val="18"/>
        </w:numPr>
        <w:spacing w:after="160"/>
        <w:rPr>
          <w:rFonts w:ascii="Aptos" w:hAnsi="Aptos"/>
        </w:rPr>
      </w:pPr>
      <w:r w:rsidRPr="00C32893">
        <w:rPr>
          <w:rFonts w:ascii="Aptos" w:hAnsi="Aptos"/>
        </w:rPr>
        <w:t>Condition 2…</w:t>
      </w:r>
    </w:p>
    <w:tbl>
      <w:tblPr>
        <w:tblStyle w:val="TableGrid"/>
        <w:tblW w:w="5000" w:type="pct"/>
        <w:tblLook w:val="04A0" w:firstRow="1" w:lastRow="0" w:firstColumn="1" w:lastColumn="0" w:noHBand="0" w:noVBand="1"/>
      </w:tblPr>
      <w:tblGrid>
        <w:gridCol w:w="10070"/>
      </w:tblGrid>
      <w:tr w:rsidR="00A036AC" w:rsidRPr="006E21E4" w14:paraId="10A71F61" w14:textId="77777777" w:rsidTr="00442B7D">
        <w:tc>
          <w:tcPr>
            <w:tcW w:w="10070" w:type="dxa"/>
            <w:shd w:val="clear" w:color="auto" w:fill="005072"/>
          </w:tcPr>
          <w:p w14:paraId="31FEA25A" w14:textId="77777777" w:rsidR="00A036AC" w:rsidRPr="00442B7D" w:rsidRDefault="00A036AC" w:rsidP="007D5177">
            <w:pPr>
              <w:jc w:val="center"/>
              <w:rPr>
                <w:rFonts w:ascii="Aptos" w:hAnsi="Aptos"/>
                <w:b/>
                <w:bCs/>
                <w:color w:val="FFFFFF" w:themeColor="background1"/>
              </w:rPr>
            </w:pPr>
            <w:r w:rsidRPr="00442B7D">
              <w:rPr>
                <w:rFonts w:ascii="Aptos" w:hAnsi="Aptos"/>
                <w:b/>
                <w:bCs/>
                <w:color w:val="FFFFFF" w:themeColor="background1"/>
              </w:rPr>
              <w:t>Standard 2: Criteria for Assessment and SVT Comments</w:t>
            </w:r>
          </w:p>
        </w:tc>
      </w:tr>
      <w:tr w:rsidR="00A036AC" w:rsidRPr="006E21E4" w14:paraId="1629147B" w14:textId="77777777" w:rsidTr="005016CC">
        <w:tc>
          <w:tcPr>
            <w:tcW w:w="10070" w:type="dxa"/>
          </w:tcPr>
          <w:p w14:paraId="766B870E" w14:textId="77777777" w:rsidR="00A036AC" w:rsidRPr="00B14E25" w:rsidRDefault="00A036AC" w:rsidP="00E0086F">
            <w:pPr>
              <w:pStyle w:val="ListParagraph"/>
              <w:numPr>
                <w:ilvl w:val="0"/>
                <w:numId w:val="23"/>
              </w:numPr>
              <w:rPr>
                <w:rFonts w:ascii="Aptos" w:hAnsi="Aptos"/>
                <w:b/>
                <w:bCs/>
                <w:sz w:val="20"/>
              </w:rPr>
            </w:pPr>
            <w:r w:rsidRPr="00B14E25">
              <w:rPr>
                <w:rFonts w:ascii="Aptos" w:hAnsi="Aptos"/>
                <w:sz w:val="20"/>
              </w:rPr>
              <w:t>The organization has the appropriate financial management procedures, resources and appropriate planning and personnel to provide a stable learning environment and to ensure that students can complete the degree program(s).</w:t>
            </w:r>
          </w:p>
        </w:tc>
      </w:tr>
      <w:tr w:rsidR="00A036AC" w:rsidRPr="006E21E4" w14:paraId="126CA644" w14:textId="77777777" w:rsidTr="005016CC">
        <w:tc>
          <w:tcPr>
            <w:tcW w:w="10070" w:type="dxa"/>
            <w:shd w:val="clear" w:color="auto" w:fill="EAF6FC"/>
          </w:tcPr>
          <w:p w14:paraId="410377D8" w14:textId="77777777" w:rsidR="00A036AC" w:rsidRPr="00B14E25" w:rsidRDefault="00A036AC" w:rsidP="007D5177">
            <w:pPr>
              <w:pStyle w:val="paragraph"/>
              <w:spacing w:before="0" w:beforeAutospacing="0" w:after="0" w:afterAutospacing="0"/>
              <w:textAlignment w:val="baseline"/>
              <w:rPr>
                <w:rStyle w:val="normaltextrun"/>
                <w:rFonts w:ascii="Aptos" w:hAnsi="Aptos"/>
                <w:sz w:val="20"/>
                <w:szCs w:val="20"/>
              </w:rPr>
            </w:pPr>
            <w:r w:rsidRPr="00B14E25">
              <w:rPr>
                <w:rStyle w:val="normaltextrun"/>
                <w:rFonts w:ascii="Aptos" w:hAnsi="Aptos"/>
                <w:sz w:val="20"/>
                <w:szCs w:val="20"/>
              </w:rPr>
              <w:t>Site Visit Team Comments</w:t>
            </w:r>
          </w:p>
          <w:p w14:paraId="3D19660C" w14:textId="77777777" w:rsidR="00A036AC" w:rsidRPr="005E7B49" w:rsidRDefault="00A036AC" w:rsidP="007D5177">
            <w:pPr>
              <w:rPr>
                <w:rStyle w:val="normaltextrun"/>
                <w:rFonts w:ascii="Aptos" w:hAnsi="Aptos"/>
                <w:color w:val="000000"/>
                <w:sz w:val="20"/>
                <w:shd w:val="clear" w:color="auto" w:fill="FFFFFF"/>
              </w:rPr>
            </w:pPr>
          </w:p>
        </w:tc>
      </w:tr>
      <w:tr w:rsidR="00A036AC" w:rsidRPr="006E21E4" w14:paraId="23AB52F5" w14:textId="77777777" w:rsidTr="005016CC">
        <w:tc>
          <w:tcPr>
            <w:tcW w:w="10070" w:type="dxa"/>
          </w:tcPr>
          <w:p w14:paraId="6D333240" w14:textId="77777777" w:rsidR="00A036AC" w:rsidRPr="00B14E25" w:rsidRDefault="00A036AC" w:rsidP="00E0086F">
            <w:pPr>
              <w:pStyle w:val="ListParagraph"/>
              <w:numPr>
                <w:ilvl w:val="0"/>
                <w:numId w:val="23"/>
              </w:numPr>
              <w:rPr>
                <w:rFonts w:ascii="Aptos" w:hAnsi="Aptos" w:cs="Cambria-Italic"/>
                <w:b/>
                <w:bCs/>
                <w:sz w:val="20"/>
              </w:rPr>
            </w:pPr>
            <w:r w:rsidRPr="00B14E25">
              <w:rPr>
                <w:rFonts w:ascii="Aptos" w:hAnsi="Aptos" w:cs="Cambria-Italic"/>
                <w:sz w:val="20"/>
              </w:rPr>
              <w:t xml:space="preserve">The organization has evidence of methods to protect student financial involvement in the case of the cessation of activity. </w:t>
            </w:r>
          </w:p>
          <w:p w14:paraId="601BC040" w14:textId="77777777" w:rsidR="00A036AC" w:rsidRPr="00B14E25" w:rsidRDefault="00A036AC" w:rsidP="007D5177">
            <w:pPr>
              <w:autoSpaceDE w:val="0"/>
              <w:autoSpaceDN w:val="0"/>
              <w:adjustRightInd w:val="0"/>
              <w:ind w:left="360"/>
              <w:rPr>
                <w:rFonts w:ascii="Aptos" w:hAnsi="Aptos" w:cs="Cambria-Italic"/>
                <w:sz w:val="20"/>
              </w:rPr>
            </w:pPr>
          </w:p>
        </w:tc>
      </w:tr>
      <w:tr w:rsidR="00A036AC" w:rsidRPr="006E21E4" w14:paraId="2391C4C7" w14:textId="77777777" w:rsidTr="005016CC">
        <w:tc>
          <w:tcPr>
            <w:tcW w:w="10070" w:type="dxa"/>
            <w:shd w:val="clear" w:color="auto" w:fill="EAF6FC"/>
          </w:tcPr>
          <w:p w14:paraId="7E9A5692" w14:textId="77777777" w:rsidR="00A036AC" w:rsidRDefault="00A036AC" w:rsidP="007D5177">
            <w:pPr>
              <w:pStyle w:val="paragraph"/>
              <w:spacing w:before="0" w:beforeAutospacing="0" w:after="0" w:afterAutospacing="0"/>
              <w:textAlignment w:val="baseline"/>
              <w:rPr>
                <w:rStyle w:val="normaltextrun"/>
                <w:rFonts w:ascii="Aptos" w:hAnsi="Aptos"/>
                <w:b/>
                <w:bCs/>
                <w:sz w:val="20"/>
                <w:szCs w:val="20"/>
              </w:rPr>
            </w:pPr>
            <w:r w:rsidRPr="00B14E25">
              <w:rPr>
                <w:rStyle w:val="normaltextrun"/>
                <w:rFonts w:ascii="Aptos" w:hAnsi="Aptos"/>
                <w:sz w:val="20"/>
                <w:szCs w:val="20"/>
              </w:rPr>
              <w:t>Site</w:t>
            </w:r>
            <w:r>
              <w:rPr>
                <w:rStyle w:val="normaltextrun"/>
                <w:rFonts w:ascii="Aptos" w:hAnsi="Aptos"/>
                <w:sz w:val="20"/>
                <w:szCs w:val="20"/>
              </w:rPr>
              <w:t xml:space="preserve"> Visit Team Comments</w:t>
            </w:r>
          </w:p>
          <w:p w14:paraId="01F80984" w14:textId="77777777" w:rsidR="00A036AC" w:rsidRPr="005E7B49" w:rsidRDefault="00A036AC" w:rsidP="007D5177">
            <w:pPr>
              <w:autoSpaceDE w:val="0"/>
              <w:autoSpaceDN w:val="0"/>
              <w:adjustRightInd w:val="0"/>
              <w:rPr>
                <w:rStyle w:val="normaltextrun"/>
                <w:rFonts w:ascii="Aptos" w:hAnsi="Aptos"/>
                <w:color w:val="000000"/>
                <w:sz w:val="20"/>
                <w:shd w:val="clear" w:color="auto" w:fill="FFFFFF"/>
              </w:rPr>
            </w:pPr>
          </w:p>
        </w:tc>
      </w:tr>
      <w:tr w:rsidR="00A036AC" w:rsidRPr="006E21E4" w14:paraId="6BC291CE" w14:textId="77777777" w:rsidTr="005016CC">
        <w:tc>
          <w:tcPr>
            <w:tcW w:w="10070" w:type="dxa"/>
          </w:tcPr>
          <w:p w14:paraId="2A36C623" w14:textId="77777777" w:rsidR="00A036AC" w:rsidRPr="00B14E25" w:rsidRDefault="00A036AC" w:rsidP="00E0086F">
            <w:pPr>
              <w:pStyle w:val="ListParagraph"/>
              <w:numPr>
                <w:ilvl w:val="0"/>
                <w:numId w:val="23"/>
              </w:numPr>
              <w:rPr>
                <w:rFonts w:ascii="Aptos" w:hAnsi="Aptos" w:cs="Cambria"/>
                <w:b/>
                <w:bCs/>
                <w:sz w:val="20"/>
              </w:rPr>
            </w:pPr>
            <w:r w:rsidRPr="00B14E25">
              <w:rPr>
                <w:rFonts w:ascii="Aptos" w:hAnsi="Aptos" w:cs="Cambria"/>
                <w:sz w:val="20"/>
              </w:rPr>
              <w:t xml:space="preserve">The organization has policies and procedures to deal effectively with appointment, evaluation, employment conditions including employment equity, promotion, termination and professional development for faculty and staff. In the case of the latter the organization determines the professional development needs of its staff. </w:t>
            </w:r>
          </w:p>
          <w:p w14:paraId="125BEDE8" w14:textId="77777777" w:rsidR="00A036AC" w:rsidRPr="00B14E25" w:rsidRDefault="00A036AC" w:rsidP="007D5177">
            <w:pPr>
              <w:autoSpaceDE w:val="0"/>
              <w:autoSpaceDN w:val="0"/>
              <w:adjustRightInd w:val="0"/>
              <w:rPr>
                <w:rFonts w:ascii="Aptos" w:hAnsi="Aptos" w:cs="Cambria"/>
                <w:sz w:val="20"/>
              </w:rPr>
            </w:pPr>
          </w:p>
        </w:tc>
      </w:tr>
      <w:tr w:rsidR="00A036AC" w:rsidRPr="006E21E4" w14:paraId="0824023B" w14:textId="77777777" w:rsidTr="005016CC">
        <w:tc>
          <w:tcPr>
            <w:tcW w:w="10070" w:type="dxa"/>
            <w:shd w:val="clear" w:color="auto" w:fill="EAF6FC"/>
          </w:tcPr>
          <w:p w14:paraId="22607257" w14:textId="77777777" w:rsidR="00A036AC" w:rsidRDefault="00A036AC" w:rsidP="007D5177">
            <w:pPr>
              <w:pStyle w:val="paragraph"/>
              <w:spacing w:before="0" w:beforeAutospacing="0" w:after="0" w:afterAutospacing="0"/>
              <w:textAlignment w:val="baseline"/>
              <w:rPr>
                <w:rStyle w:val="normaltextrun"/>
                <w:rFonts w:ascii="Aptos" w:hAnsi="Aptos"/>
                <w:b/>
                <w:bCs/>
                <w:sz w:val="20"/>
                <w:szCs w:val="20"/>
              </w:rPr>
            </w:pPr>
            <w:r w:rsidRPr="00B14E25">
              <w:rPr>
                <w:rStyle w:val="normaltextrun"/>
                <w:rFonts w:ascii="Aptos" w:hAnsi="Aptos"/>
                <w:sz w:val="20"/>
                <w:szCs w:val="20"/>
              </w:rPr>
              <w:t>Site</w:t>
            </w:r>
            <w:r>
              <w:rPr>
                <w:rStyle w:val="normaltextrun"/>
                <w:rFonts w:ascii="Aptos" w:hAnsi="Aptos"/>
                <w:sz w:val="20"/>
                <w:szCs w:val="20"/>
              </w:rPr>
              <w:t xml:space="preserve"> Visit Team Comments</w:t>
            </w:r>
          </w:p>
          <w:p w14:paraId="690F39A9" w14:textId="77777777" w:rsidR="00A036AC" w:rsidRPr="005E7B49" w:rsidRDefault="00A036AC" w:rsidP="007D5177">
            <w:pPr>
              <w:autoSpaceDE w:val="0"/>
              <w:autoSpaceDN w:val="0"/>
              <w:adjustRightInd w:val="0"/>
              <w:rPr>
                <w:rStyle w:val="normaltextrun"/>
                <w:rFonts w:ascii="Aptos" w:hAnsi="Aptos"/>
                <w:color w:val="000000"/>
                <w:sz w:val="20"/>
                <w:shd w:val="clear" w:color="auto" w:fill="FFFFFF"/>
              </w:rPr>
            </w:pPr>
          </w:p>
        </w:tc>
      </w:tr>
      <w:tr w:rsidR="00A036AC" w:rsidRPr="006E21E4" w14:paraId="1E3E194C" w14:textId="77777777" w:rsidTr="005016CC">
        <w:tc>
          <w:tcPr>
            <w:tcW w:w="10070" w:type="dxa"/>
          </w:tcPr>
          <w:p w14:paraId="6876523F" w14:textId="77777777" w:rsidR="00A036AC" w:rsidRPr="00B14E25" w:rsidRDefault="00A036AC" w:rsidP="00E0086F">
            <w:pPr>
              <w:pStyle w:val="ListParagraph"/>
              <w:numPr>
                <w:ilvl w:val="0"/>
                <w:numId w:val="23"/>
              </w:numPr>
              <w:autoSpaceDE w:val="0"/>
              <w:autoSpaceDN w:val="0"/>
              <w:adjustRightInd w:val="0"/>
              <w:rPr>
                <w:rFonts w:ascii="Aptos" w:hAnsi="Aptos" w:cs="Cambria"/>
                <w:b/>
                <w:bCs/>
                <w:sz w:val="20"/>
              </w:rPr>
            </w:pPr>
            <w:r w:rsidRPr="00B14E25">
              <w:rPr>
                <w:rFonts w:ascii="Aptos" w:hAnsi="Aptos" w:cs="Cambria"/>
                <w:sz w:val="20"/>
              </w:rPr>
              <w:t xml:space="preserve">The organization’s learning, physical IT, infrastructure, and service resources support the align with the institution’s Mission and Vision and meet the needs of students, faculty, and staff. The methods for establishing priorities for the maintenance of these resources, and acquisition of new resources are evident in annual reporting and planning documents.  </w:t>
            </w:r>
          </w:p>
        </w:tc>
      </w:tr>
      <w:tr w:rsidR="00A036AC" w:rsidRPr="006E21E4" w14:paraId="04120F9B" w14:textId="77777777" w:rsidTr="005016CC">
        <w:tc>
          <w:tcPr>
            <w:tcW w:w="10070" w:type="dxa"/>
            <w:shd w:val="clear" w:color="auto" w:fill="EAF6FC"/>
          </w:tcPr>
          <w:p w14:paraId="4F5D4D5A" w14:textId="77777777" w:rsidR="00A036AC" w:rsidRDefault="00A036AC" w:rsidP="007D5177">
            <w:pPr>
              <w:pStyle w:val="paragraph"/>
              <w:spacing w:before="0" w:beforeAutospacing="0" w:after="0" w:afterAutospacing="0"/>
              <w:textAlignment w:val="baseline"/>
              <w:rPr>
                <w:rStyle w:val="normaltextrun"/>
                <w:rFonts w:ascii="Aptos" w:hAnsi="Aptos"/>
                <w:b/>
                <w:bCs/>
                <w:sz w:val="20"/>
                <w:szCs w:val="20"/>
              </w:rPr>
            </w:pPr>
            <w:r w:rsidRPr="00B14E25">
              <w:rPr>
                <w:rStyle w:val="normaltextrun"/>
                <w:rFonts w:ascii="Aptos" w:hAnsi="Aptos"/>
                <w:sz w:val="20"/>
                <w:szCs w:val="20"/>
              </w:rPr>
              <w:t>Site</w:t>
            </w:r>
            <w:r>
              <w:rPr>
                <w:rStyle w:val="normaltextrun"/>
                <w:rFonts w:ascii="Aptos" w:hAnsi="Aptos"/>
                <w:sz w:val="20"/>
                <w:szCs w:val="20"/>
              </w:rPr>
              <w:t xml:space="preserve"> Visit Team Comments</w:t>
            </w:r>
          </w:p>
          <w:p w14:paraId="496D603E" w14:textId="77777777" w:rsidR="00A036AC" w:rsidRPr="005E7B49" w:rsidRDefault="00A036AC" w:rsidP="007D5177">
            <w:pPr>
              <w:autoSpaceDE w:val="0"/>
              <w:autoSpaceDN w:val="0"/>
              <w:adjustRightInd w:val="0"/>
              <w:rPr>
                <w:rStyle w:val="normaltextrun"/>
                <w:rFonts w:ascii="Aptos" w:hAnsi="Aptos"/>
                <w:color w:val="000000"/>
                <w:sz w:val="20"/>
                <w:shd w:val="clear" w:color="auto" w:fill="FFFFFF"/>
              </w:rPr>
            </w:pPr>
          </w:p>
        </w:tc>
      </w:tr>
      <w:tr w:rsidR="00A036AC" w:rsidRPr="006E21E4" w14:paraId="04D7AE7F" w14:textId="77777777" w:rsidTr="005016CC">
        <w:tc>
          <w:tcPr>
            <w:tcW w:w="10070" w:type="dxa"/>
          </w:tcPr>
          <w:p w14:paraId="43ED620F" w14:textId="77777777" w:rsidR="00A036AC" w:rsidRPr="00B14E25" w:rsidRDefault="00A036AC" w:rsidP="00E0086F">
            <w:pPr>
              <w:pStyle w:val="ListParagraph"/>
              <w:numPr>
                <w:ilvl w:val="0"/>
                <w:numId w:val="23"/>
              </w:numPr>
              <w:autoSpaceDE w:val="0"/>
              <w:autoSpaceDN w:val="0"/>
              <w:adjustRightInd w:val="0"/>
              <w:rPr>
                <w:rFonts w:ascii="Aptos" w:hAnsi="Aptos" w:cs="Cambria"/>
                <w:b/>
                <w:bCs/>
                <w:sz w:val="20"/>
              </w:rPr>
            </w:pPr>
            <w:r w:rsidRPr="00B14E25">
              <w:rPr>
                <w:rFonts w:ascii="Aptos" w:hAnsi="Aptos" w:cs="Cambria"/>
                <w:sz w:val="20"/>
              </w:rPr>
              <w:t>The provision of student services is appropriate to the institution, regularly assessed, and guided by policies and practices related to students’ security, rights and responsibilities, and the supports for student services are adequately communicated to students. These provisions effectively support the quality of the proposed degree programming. The organization adequately informs students about these policies, practices, and supports.</w:t>
            </w:r>
          </w:p>
        </w:tc>
      </w:tr>
      <w:tr w:rsidR="00A036AC" w:rsidRPr="006E21E4" w14:paraId="5D5F7F11" w14:textId="77777777" w:rsidTr="005016CC">
        <w:tc>
          <w:tcPr>
            <w:tcW w:w="10070" w:type="dxa"/>
            <w:shd w:val="clear" w:color="auto" w:fill="EAF6FC"/>
          </w:tcPr>
          <w:p w14:paraId="614DF7D4" w14:textId="77777777" w:rsidR="00A036AC" w:rsidRDefault="00A036AC" w:rsidP="007D5177">
            <w:pPr>
              <w:pStyle w:val="paragraph"/>
              <w:spacing w:before="0" w:beforeAutospacing="0" w:after="0" w:afterAutospacing="0"/>
              <w:textAlignment w:val="baseline"/>
              <w:rPr>
                <w:rStyle w:val="normaltextrun"/>
                <w:rFonts w:ascii="Aptos" w:hAnsi="Aptos"/>
                <w:b/>
                <w:bCs/>
                <w:sz w:val="20"/>
                <w:szCs w:val="20"/>
              </w:rPr>
            </w:pPr>
            <w:r w:rsidRPr="00B14E25">
              <w:rPr>
                <w:rStyle w:val="normaltextrun"/>
                <w:rFonts w:ascii="Aptos" w:hAnsi="Aptos"/>
                <w:sz w:val="20"/>
                <w:szCs w:val="20"/>
              </w:rPr>
              <w:t>Site</w:t>
            </w:r>
            <w:r>
              <w:rPr>
                <w:rStyle w:val="normaltextrun"/>
                <w:rFonts w:ascii="Aptos" w:hAnsi="Aptos"/>
                <w:sz w:val="20"/>
                <w:szCs w:val="20"/>
              </w:rPr>
              <w:t xml:space="preserve"> Visit Team Comments</w:t>
            </w:r>
          </w:p>
          <w:p w14:paraId="07297AFA" w14:textId="77777777" w:rsidR="00A036AC" w:rsidRPr="005E7B49" w:rsidRDefault="00A036AC" w:rsidP="007D5177">
            <w:pPr>
              <w:autoSpaceDE w:val="0"/>
              <w:autoSpaceDN w:val="0"/>
              <w:adjustRightInd w:val="0"/>
              <w:rPr>
                <w:rStyle w:val="normaltextrun"/>
                <w:rFonts w:ascii="Aptos" w:hAnsi="Aptos"/>
                <w:color w:val="000000"/>
                <w:sz w:val="20"/>
                <w:shd w:val="clear" w:color="auto" w:fill="FFFFFF"/>
              </w:rPr>
            </w:pPr>
          </w:p>
        </w:tc>
      </w:tr>
      <w:tr w:rsidR="00A036AC" w:rsidRPr="006E21E4" w14:paraId="4D728E80" w14:textId="77777777" w:rsidTr="005016CC">
        <w:tc>
          <w:tcPr>
            <w:tcW w:w="10070" w:type="dxa"/>
          </w:tcPr>
          <w:p w14:paraId="339A9C7F" w14:textId="77777777" w:rsidR="00A036AC" w:rsidRPr="00B14E25" w:rsidRDefault="00A036AC" w:rsidP="00E0086F">
            <w:pPr>
              <w:pStyle w:val="ListParagraph"/>
              <w:numPr>
                <w:ilvl w:val="0"/>
                <w:numId w:val="23"/>
              </w:numPr>
              <w:autoSpaceDE w:val="0"/>
              <w:autoSpaceDN w:val="0"/>
              <w:adjustRightInd w:val="0"/>
              <w:rPr>
                <w:rFonts w:ascii="Aptos" w:hAnsi="Aptos" w:cs="Cambria"/>
                <w:b/>
                <w:bCs/>
                <w:sz w:val="20"/>
              </w:rPr>
            </w:pPr>
            <w:r w:rsidRPr="00B14E25">
              <w:rPr>
                <w:rFonts w:ascii="Aptos" w:hAnsi="Aptos" w:cs="Cambria"/>
                <w:sz w:val="20"/>
              </w:rPr>
              <w:t>The organization ensures that student academic records and alumni records are secure.</w:t>
            </w:r>
          </w:p>
        </w:tc>
      </w:tr>
      <w:tr w:rsidR="00A036AC" w:rsidRPr="006E21E4" w14:paraId="2C7982E7" w14:textId="77777777" w:rsidTr="005016CC">
        <w:tc>
          <w:tcPr>
            <w:tcW w:w="10070" w:type="dxa"/>
            <w:shd w:val="clear" w:color="auto" w:fill="EAF6FC"/>
          </w:tcPr>
          <w:p w14:paraId="3ED1A096" w14:textId="77777777" w:rsidR="00A036AC" w:rsidRDefault="00A036AC" w:rsidP="007D5177">
            <w:pPr>
              <w:pStyle w:val="paragraph"/>
              <w:spacing w:before="0" w:beforeAutospacing="0" w:after="0" w:afterAutospacing="0"/>
              <w:textAlignment w:val="baseline"/>
              <w:rPr>
                <w:rStyle w:val="normaltextrun"/>
                <w:rFonts w:ascii="Aptos" w:hAnsi="Aptos"/>
                <w:b/>
                <w:bCs/>
                <w:sz w:val="20"/>
                <w:szCs w:val="20"/>
              </w:rPr>
            </w:pPr>
            <w:r w:rsidRPr="00B14E25">
              <w:rPr>
                <w:rStyle w:val="normaltextrun"/>
                <w:rFonts w:ascii="Aptos" w:hAnsi="Aptos"/>
                <w:sz w:val="20"/>
                <w:szCs w:val="20"/>
              </w:rPr>
              <w:t>Site</w:t>
            </w:r>
            <w:r>
              <w:rPr>
                <w:rStyle w:val="normaltextrun"/>
                <w:rFonts w:ascii="Aptos" w:hAnsi="Aptos"/>
                <w:sz w:val="20"/>
                <w:szCs w:val="20"/>
              </w:rPr>
              <w:t xml:space="preserve"> Visit Team Comments</w:t>
            </w:r>
          </w:p>
          <w:p w14:paraId="0B0A7D67" w14:textId="77777777" w:rsidR="00A036AC" w:rsidRPr="005E7B49" w:rsidRDefault="00A036AC" w:rsidP="007D5177">
            <w:pPr>
              <w:autoSpaceDE w:val="0"/>
              <w:autoSpaceDN w:val="0"/>
              <w:adjustRightInd w:val="0"/>
              <w:rPr>
                <w:rStyle w:val="normaltextrun"/>
                <w:rFonts w:ascii="Aptos" w:hAnsi="Aptos"/>
                <w:color w:val="000000"/>
                <w:sz w:val="20"/>
                <w:shd w:val="clear" w:color="auto" w:fill="FFFFFF"/>
              </w:rPr>
            </w:pPr>
          </w:p>
        </w:tc>
      </w:tr>
      <w:tr w:rsidR="00A036AC" w:rsidRPr="006E21E4" w14:paraId="2564D1CC" w14:textId="77777777" w:rsidTr="005016CC">
        <w:tc>
          <w:tcPr>
            <w:tcW w:w="10070" w:type="dxa"/>
          </w:tcPr>
          <w:p w14:paraId="4C9FB162" w14:textId="77777777" w:rsidR="00A036AC" w:rsidRPr="00B14E25" w:rsidRDefault="00A036AC" w:rsidP="00E0086F">
            <w:pPr>
              <w:pStyle w:val="ListParagraph"/>
              <w:numPr>
                <w:ilvl w:val="0"/>
                <w:numId w:val="23"/>
              </w:numPr>
              <w:autoSpaceDE w:val="0"/>
              <w:autoSpaceDN w:val="0"/>
              <w:adjustRightInd w:val="0"/>
              <w:rPr>
                <w:rFonts w:ascii="Aptos" w:hAnsi="Aptos" w:cs="Cambria"/>
                <w:b/>
                <w:bCs/>
                <w:sz w:val="20"/>
              </w:rPr>
            </w:pPr>
            <w:r w:rsidRPr="00B14E25">
              <w:rPr>
                <w:rFonts w:ascii="Aptos" w:hAnsi="Aptos" w:cs="Cambria"/>
                <w:sz w:val="20"/>
              </w:rPr>
              <w:lastRenderedPageBreak/>
              <w:t>The organization has plans and methods for managing health and safety issues appropriate to support degree programming in the program(s) it offers or proposes to offer.</w:t>
            </w:r>
          </w:p>
        </w:tc>
      </w:tr>
      <w:tr w:rsidR="00A036AC" w:rsidRPr="006E21E4" w14:paraId="1755473D" w14:textId="77777777" w:rsidTr="005016CC">
        <w:tc>
          <w:tcPr>
            <w:tcW w:w="10070" w:type="dxa"/>
            <w:shd w:val="clear" w:color="auto" w:fill="EAF6FC"/>
          </w:tcPr>
          <w:p w14:paraId="27D146BE" w14:textId="77777777" w:rsidR="00A036AC" w:rsidRPr="00B14E25" w:rsidRDefault="00A036AC" w:rsidP="007D5177">
            <w:pPr>
              <w:pStyle w:val="paragraph"/>
              <w:spacing w:before="0" w:beforeAutospacing="0" w:after="0" w:afterAutospacing="0"/>
              <w:textAlignment w:val="baseline"/>
              <w:rPr>
                <w:rStyle w:val="normaltextrun"/>
                <w:rFonts w:ascii="Aptos" w:hAnsi="Aptos"/>
                <w:sz w:val="20"/>
                <w:szCs w:val="20"/>
              </w:rPr>
            </w:pPr>
            <w:r w:rsidRPr="00B14E25">
              <w:rPr>
                <w:rStyle w:val="normaltextrun"/>
                <w:rFonts w:ascii="Aptos" w:hAnsi="Aptos"/>
                <w:sz w:val="20"/>
                <w:szCs w:val="20"/>
              </w:rPr>
              <w:t>Site Visit Team Comments</w:t>
            </w:r>
          </w:p>
          <w:p w14:paraId="2293B361" w14:textId="77777777" w:rsidR="00A036AC" w:rsidRPr="005E7B49" w:rsidRDefault="00A036AC" w:rsidP="007D5177">
            <w:pPr>
              <w:autoSpaceDE w:val="0"/>
              <w:autoSpaceDN w:val="0"/>
              <w:adjustRightInd w:val="0"/>
              <w:rPr>
                <w:rStyle w:val="normaltextrun"/>
                <w:rFonts w:ascii="Aptos" w:hAnsi="Aptos"/>
                <w:color w:val="000000"/>
                <w:sz w:val="20"/>
                <w:shd w:val="clear" w:color="auto" w:fill="FFFFFF"/>
              </w:rPr>
            </w:pPr>
          </w:p>
        </w:tc>
      </w:tr>
    </w:tbl>
    <w:p w14:paraId="3D9AAF13" w14:textId="77777777" w:rsidR="00A036AC" w:rsidRDefault="00A036AC" w:rsidP="00A036AC">
      <w:pPr>
        <w:rPr>
          <w:rFonts w:ascii="Aptos" w:hAnsi="Aptos"/>
        </w:rPr>
      </w:pPr>
    </w:p>
    <w:p w14:paraId="723B436A" w14:textId="77777777" w:rsidR="00A036AC" w:rsidRPr="006E21E4" w:rsidRDefault="00A036AC" w:rsidP="00A036AC">
      <w:pPr>
        <w:pStyle w:val="Heading1"/>
      </w:pPr>
      <w:r w:rsidRPr="006E21E4">
        <w:t>Standard 3: Teaching &amp; Learning</w:t>
      </w:r>
    </w:p>
    <w:tbl>
      <w:tblPr>
        <w:tblStyle w:val="TableGrid"/>
        <w:tblW w:w="5000" w:type="pct"/>
        <w:jc w:val="center"/>
        <w:tblLook w:val="04A0" w:firstRow="1" w:lastRow="0" w:firstColumn="1" w:lastColumn="0" w:noHBand="0" w:noVBand="1"/>
      </w:tblPr>
      <w:tblGrid>
        <w:gridCol w:w="10070"/>
      </w:tblGrid>
      <w:tr w:rsidR="00A036AC" w:rsidRPr="006E21E4" w14:paraId="2D16C285" w14:textId="77777777" w:rsidTr="00442B7D">
        <w:trPr>
          <w:jc w:val="center"/>
        </w:trPr>
        <w:tc>
          <w:tcPr>
            <w:tcW w:w="10070" w:type="dxa"/>
            <w:shd w:val="clear" w:color="auto" w:fill="005072"/>
          </w:tcPr>
          <w:p w14:paraId="66963FB4" w14:textId="252BEE9F" w:rsidR="00A036AC" w:rsidRPr="00442B7D" w:rsidRDefault="005016CC" w:rsidP="005016CC">
            <w:pPr>
              <w:rPr>
                <w:rStyle w:val="cf01"/>
                <w:rFonts w:ascii="Aptos" w:eastAsiaTheme="majorEastAsia" w:hAnsi="Aptos"/>
                <w:b w:val="0"/>
                <w:color w:val="FFFFFF" w:themeColor="background1"/>
                <w:sz w:val="22"/>
                <w:szCs w:val="22"/>
              </w:rPr>
            </w:pPr>
            <w:r w:rsidRPr="00442B7D">
              <w:rPr>
                <w:rFonts w:ascii="Aptos" w:hAnsi="Aptos" w:cs="Arial"/>
                <w:b/>
                <w:color w:val="FFFFFF" w:themeColor="background1"/>
                <w:szCs w:val="22"/>
              </w:rPr>
              <w:t xml:space="preserve">3) </w:t>
            </w:r>
            <w:r w:rsidR="00A036AC" w:rsidRPr="00442B7D">
              <w:rPr>
                <w:rFonts w:ascii="Aptos" w:hAnsi="Aptos" w:cs="Arial"/>
                <w:b/>
                <w:color w:val="FFFFFF" w:themeColor="background1"/>
                <w:szCs w:val="22"/>
              </w:rPr>
              <w:t>A culture of excellence in teaching and learning.</w:t>
            </w:r>
          </w:p>
        </w:tc>
      </w:tr>
      <w:tr w:rsidR="00A036AC" w:rsidRPr="006E21E4" w14:paraId="43540644" w14:textId="77777777" w:rsidTr="005016CC">
        <w:trPr>
          <w:jc w:val="center"/>
        </w:trPr>
        <w:tc>
          <w:tcPr>
            <w:tcW w:w="10070" w:type="dxa"/>
            <w:shd w:val="clear" w:color="auto" w:fill="EAF6FC"/>
          </w:tcPr>
          <w:p w14:paraId="5D3131E5" w14:textId="77777777" w:rsidR="00A036AC" w:rsidRPr="005016CC" w:rsidRDefault="00A036AC" w:rsidP="007D5177">
            <w:pPr>
              <w:contextualSpacing/>
              <w:jc w:val="center"/>
              <w:rPr>
                <w:rFonts w:ascii="Aptos" w:hAnsi="Aptos" w:cstheme="minorHAnsi"/>
                <w:b/>
                <w:bCs/>
                <w:szCs w:val="22"/>
              </w:rPr>
            </w:pPr>
            <w:r w:rsidRPr="005016CC">
              <w:rPr>
                <w:rFonts w:ascii="Aptos" w:hAnsi="Aptos" w:cstheme="minorHAnsi"/>
                <w:b/>
                <w:bCs/>
                <w:szCs w:val="22"/>
              </w:rPr>
              <w:t>AREAS OF FOCUS</w:t>
            </w:r>
          </w:p>
        </w:tc>
      </w:tr>
      <w:tr w:rsidR="00A036AC" w:rsidRPr="006E21E4" w14:paraId="3F1ACA62" w14:textId="77777777" w:rsidTr="007D5177">
        <w:trPr>
          <w:jc w:val="center"/>
        </w:trPr>
        <w:tc>
          <w:tcPr>
            <w:tcW w:w="10070" w:type="dxa"/>
          </w:tcPr>
          <w:p w14:paraId="09814403" w14:textId="77777777" w:rsidR="00A036AC" w:rsidRPr="005016CC" w:rsidRDefault="00A036AC" w:rsidP="007D5177">
            <w:pPr>
              <w:rPr>
                <w:rFonts w:ascii="Aptos" w:hAnsi="Aptos" w:cs="Calibri"/>
                <w:sz w:val="20"/>
              </w:rPr>
            </w:pPr>
            <w:r w:rsidRPr="005016CC">
              <w:rPr>
                <w:rFonts w:ascii="Aptos" w:hAnsi="Aptos" w:cs="Calibri"/>
                <w:sz w:val="20"/>
              </w:rPr>
              <w:t>Demonstrable support for the assessment and ongoing development of faculty, instructional practices, and curricula. Training for employees that contributes to effective learning, and professional development experiences for faculty and staff.</w:t>
            </w:r>
          </w:p>
        </w:tc>
      </w:tr>
    </w:tbl>
    <w:p w14:paraId="01D2DA49" w14:textId="77777777" w:rsidR="00A036AC" w:rsidRDefault="00A036AC" w:rsidP="00A036AC">
      <w:pPr>
        <w:contextualSpacing/>
        <w:rPr>
          <w:rFonts w:ascii="Aptos" w:hAnsi="Aptos"/>
          <w:sz w:val="20"/>
          <w:szCs w:val="20"/>
        </w:rPr>
      </w:pPr>
    </w:p>
    <w:p w14:paraId="110CDD57" w14:textId="77777777" w:rsidR="00A036AC" w:rsidRDefault="00A036AC" w:rsidP="00A036AC">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35941CA3" w14:textId="77777777" w:rsidR="00A036AC" w:rsidRPr="00C84191" w:rsidRDefault="00A036AC" w:rsidP="00E0086F">
      <w:pPr>
        <w:pStyle w:val="paragraph"/>
        <w:numPr>
          <w:ilvl w:val="0"/>
          <w:numId w:val="12"/>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Institutional definition of teaching excellence and how teaching and learning are assessed, supported, funded, rewarded, and recorded</w:t>
      </w:r>
      <w:r w:rsidRPr="00C84191">
        <w:rPr>
          <w:rStyle w:val="eop"/>
          <w:rFonts w:ascii="Aptos" w:eastAsiaTheme="majorEastAsia" w:hAnsi="Aptos"/>
          <w:color w:val="000000"/>
          <w:sz w:val="20"/>
          <w:szCs w:val="20"/>
        </w:rPr>
        <w:t> </w:t>
      </w:r>
    </w:p>
    <w:p w14:paraId="0E1B7561" w14:textId="77777777" w:rsidR="00A036AC" w:rsidRPr="00C84191" w:rsidRDefault="00A036AC" w:rsidP="00E0086F">
      <w:pPr>
        <w:pStyle w:val="paragraph"/>
        <w:numPr>
          <w:ilvl w:val="0"/>
          <w:numId w:val="12"/>
        </w:numPr>
        <w:spacing w:before="0" w:beforeAutospacing="0" w:after="0" w:afterAutospacing="0"/>
        <w:textAlignment w:val="baseline"/>
        <w:rPr>
          <w:rFonts w:ascii="Aptos" w:hAnsi="Aptos"/>
          <w:sz w:val="20"/>
          <w:szCs w:val="20"/>
        </w:rPr>
      </w:pPr>
      <w:r w:rsidRPr="00C84191">
        <w:rPr>
          <w:rStyle w:val="normaltextrun"/>
          <w:rFonts w:ascii="Aptos" w:hAnsi="Aptos"/>
          <w:color w:val="000000" w:themeColor="text1"/>
          <w:sz w:val="20"/>
          <w:szCs w:val="20"/>
        </w:rPr>
        <w:t>Evidence of support of the design, development and delivery of learning experiences for both students and faculty (such as any related Annual Reports or Operation Plans from Teaching &amp; Learning Centres, or other evidence of faculty development)</w:t>
      </w:r>
      <w:r w:rsidRPr="00C84191">
        <w:rPr>
          <w:rStyle w:val="eop"/>
          <w:rFonts w:ascii="Aptos" w:eastAsiaTheme="majorEastAsia" w:hAnsi="Aptos"/>
          <w:color w:val="000000" w:themeColor="text1"/>
          <w:sz w:val="20"/>
          <w:szCs w:val="20"/>
        </w:rPr>
        <w:t> </w:t>
      </w:r>
    </w:p>
    <w:p w14:paraId="4E72CDC0" w14:textId="77777777" w:rsidR="00A036AC" w:rsidRPr="00C84191" w:rsidRDefault="00A036AC" w:rsidP="00E0086F">
      <w:pPr>
        <w:pStyle w:val="paragraph"/>
        <w:numPr>
          <w:ilvl w:val="0"/>
          <w:numId w:val="12"/>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Staff dedicated to instructional development and examples of relevant programming</w:t>
      </w:r>
      <w:r w:rsidRPr="00C84191">
        <w:rPr>
          <w:rStyle w:val="eop"/>
          <w:rFonts w:ascii="Aptos" w:eastAsiaTheme="majorEastAsia" w:hAnsi="Aptos"/>
          <w:color w:val="000000"/>
          <w:sz w:val="20"/>
          <w:szCs w:val="20"/>
        </w:rPr>
        <w:t> </w:t>
      </w:r>
    </w:p>
    <w:p w14:paraId="254C0B7B" w14:textId="77777777" w:rsidR="00A036AC" w:rsidRPr="00C84191" w:rsidRDefault="00A036AC" w:rsidP="00E0086F">
      <w:pPr>
        <w:pStyle w:val="paragraph"/>
        <w:numPr>
          <w:ilvl w:val="0"/>
          <w:numId w:val="12"/>
        </w:numPr>
        <w:spacing w:before="0" w:beforeAutospacing="0" w:after="0" w:afterAutospacing="0"/>
        <w:textAlignment w:val="baseline"/>
        <w:rPr>
          <w:rFonts w:ascii="Aptos" w:hAnsi="Aptos"/>
          <w:sz w:val="20"/>
          <w:szCs w:val="20"/>
        </w:rPr>
      </w:pPr>
      <w:r w:rsidRPr="00C84191">
        <w:rPr>
          <w:rStyle w:val="normaltextrun"/>
          <w:rFonts w:ascii="Aptos" w:hAnsi="Aptos"/>
          <w:color w:val="000000" w:themeColor="text1"/>
          <w:sz w:val="20"/>
          <w:szCs w:val="20"/>
        </w:rPr>
        <w:t>Instructional, course, and program feedback collected from student surveys and other sources. Feedback analyzed and used where appropriate.</w:t>
      </w:r>
      <w:r w:rsidRPr="00C84191">
        <w:rPr>
          <w:rStyle w:val="eop"/>
          <w:rFonts w:ascii="Aptos" w:eastAsiaTheme="majorEastAsia" w:hAnsi="Aptos"/>
          <w:color w:val="000000" w:themeColor="text1"/>
          <w:sz w:val="20"/>
          <w:szCs w:val="20"/>
        </w:rPr>
        <w:t> </w:t>
      </w:r>
    </w:p>
    <w:p w14:paraId="71612128" w14:textId="77777777" w:rsidR="00A036AC" w:rsidRPr="00C84191" w:rsidRDefault="00A036AC" w:rsidP="00A036AC">
      <w:pPr>
        <w:contextualSpacing/>
        <w:rPr>
          <w:rFonts w:ascii="Aptos" w:hAnsi="Aptos"/>
          <w:sz w:val="20"/>
          <w:szCs w:val="20"/>
        </w:rPr>
      </w:pPr>
    </w:p>
    <w:p w14:paraId="3641F391" w14:textId="77777777" w:rsidR="00A036AC" w:rsidRPr="00C84191" w:rsidRDefault="00A036AC" w:rsidP="00A036AC">
      <w:pPr>
        <w:rPr>
          <w:rFonts w:ascii="Aptos" w:hAnsi="Aptos"/>
          <w:b/>
          <w:bCs/>
        </w:rPr>
      </w:pPr>
      <w:r w:rsidRPr="00C84191">
        <w:rPr>
          <w:rFonts w:ascii="Aptos" w:hAnsi="Aptos"/>
          <w:b/>
          <w:bCs/>
        </w:rPr>
        <w:t xml:space="preserve">Based on the evidence provided, the Organization: </w:t>
      </w:r>
    </w:p>
    <w:p w14:paraId="1B29DB38" w14:textId="77777777" w:rsidR="00A036AC" w:rsidRPr="006E21E4" w:rsidRDefault="00A036AC" w:rsidP="00A036AC">
      <w:pPr>
        <w:contextualSpacing/>
        <w:rPr>
          <w:rFonts w:ascii="Aptos" w:hAnsi="Aptos"/>
          <w:sz w:val="20"/>
          <w:szCs w:val="20"/>
        </w:rPr>
      </w:pPr>
      <w:r w:rsidRPr="006E21E4">
        <w:rPr>
          <w:rFonts w:ascii="Aptos" w:hAnsi="Aptos"/>
          <w:sz w:val="20"/>
          <w:szCs w:val="20"/>
        </w:rPr>
        <w:t>______ fails to meet the criteria</w:t>
      </w:r>
    </w:p>
    <w:p w14:paraId="2FCBA925" w14:textId="77777777" w:rsidR="00A036AC" w:rsidRPr="006E21E4" w:rsidRDefault="00A036AC" w:rsidP="00A036AC">
      <w:pPr>
        <w:contextualSpacing/>
        <w:rPr>
          <w:rFonts w:ascii="Aptos" w:hAnsi="Aptos"/>
          <w:sz w:val="20"/>
          <w:szCs w:val="20"/>
        </w:rPr>
      </w:pPr>
      <w:r w:rsidRPr="006E21E4">
        <w:rPr>
          <w:rFonts w:ascii="Aptos" w:hAnsi="Aptos"/>
          <w:sz w:val="20"/>
          <w:szCs w:val="20"/>
        </w:rPr>
        <w:t>______ meets or exceeds the criteria</w:t>
      </w:r>
    </w:p>
    <w:p w14:paraId="3324B3F4" w14:textId="77777777" w:rsidR="00A036AC" w:rsidRPr="006E21E4" w:rsidRDefault="00A036AC" w:rsidP="00A036AC">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2218645F" w14:textId="77777777" w:rsidR="00A036AC" w:rsidRPr="006E21E4" w:rsidRDefault="00A036AC" w:rsidP="00A036AC">
      <w:pPr>
        <w:contextualSpacing/>
        <w:rPr>
          <w:rFonts w:ascii="Aptos" w:hAnsi="Aptos"/>
          <w:sz w:val="20"/>
          <w:szCs w:val="20"/>
        </w:rPr>
      </w:pPr>
    </w:p>
    <w:p w14:paraId="1CCF43FD" w14:textId="77777777" w:rsidR="00A036AC" w:rsidRPr="0053703C" w:rsidRDefault="00A036AC" w:rsidP="005016CC">
      <w:pPr>
        <w:pStyle w:val="Heading2"/>
      </w:pPr>
      <w:r w:rsidRPr="0053703C">
        <w:t>Rationale for Determination</w:t>
      </w:r>
    </w:p>
    <w:p w14:paraId="56701295" w14:textId="77777777" w:rsidR="00A036AC" w:rsidRPr="005852CF" w:rsidRDefault="00A036AC" w:rsidP="00A036AC">
      <w:pPr>
        <w:rPr>
          <w:rFonts w:ascii="Aptos" w:hAnsi="Aptos"/>
        </w:rPr>
      </w:pPr>
      <w:r w:rsidRPr="006E21E4">
        <w:rPr>
          <w:rFonts w:ascii="Aptos" w:hAnsi="Aptos"/>
        </w:rPr>
        <w:t>The rationale is….</w:t>
      </w:r>
    </w:p>
    <w:p w14:paraId="2485B785" w14:textId="77777777" w:rsidR="00A036AC" w:rsidRPr="0053703C" w:rsidRDefault="00A036AC" w:rsidP="005016CC">
      <w:pPr>
        <w:pStyle w:val="Heading2"/>
      </w:pPr>
      <w:r w:rsidRPr="0053703C">
        <w:t>Conditions/Recommendations</w:t>
      </w:r>
    </w:p>
    <w:p w14:paraId="38DE378B" w14:textId="77777777" w:rsidR="00A036AC" w:rsidRPr="00C32893" w:rsidRDefault="00A036AC" w:rsidP="00E0086F">
      <w:pPr>
        <w:pStyle w:val="ListParagraph"/>
        <w:numPr>
          <w:ilvl w:val="0"/>
          <w:numId w:val="19"/>
        </w:numPr>
        <w:spacing w:after="160"/>
        <w:rPr>
          <w:rFonts w:ascii="Aptos" w:hAnsi="Aptos"/>
        </w:rPr>
      </w:pPr>
      <w:r w:rsidRPr="00C32893">
        <w:rPr>
          <w:rFonts w:ascii="Aptos" w:hAnsi="Aptos"/>
        </w:rPr>
        <w:t>Condition 1</w:t>
      </w:r>
    </w:p>
    <w:p w14:paraId="40059B40" w14:textId="77777777" w:rsidR="00A036AC" w:rsidRPr="00DE5DF3" w:rsidRDefault="00A036AC" w:rsidP="00E0086F">
      <w:pPr>
        <w:pStyle w:val="ListParagraph"/>
        <w:numPr>
          <w:ilvl w:val="0"/>
          <w:numId w:val="19"/>
        </w:numPr>
        <w:spacing w:after="160"/>
        <w:rPr>
          <w:rFonts w:ascii="Aptos" w:hAnsi="Aptos"/>
        </w:rPr>
      </w:pPr>
      <w:r w:rsidRPr="00C32893">
        <w:rPr>
          <w:rFonts w:ascii="Aptos" w:hAnsi="Aptos"/>
        </w:rPr>
        <w:t>Condition 2…</w:t>
      </w:r>
    </w:p>
    <w:tbl>
      <w:tblPr>
        <w:tblStyle w:val="TableGrid"/>
        <w:tblW w:w="5000" w:type="pct"/>
        <w:tblLook w:val="04A0" w:firstRow="1" w:lastRow="0" w:firstColumn="1" w:lastColumn="0" w:noHBand="0" w:noVBand="1"/>
      </w:tblPr>
      <w:tblGrid>
        <w:gridCol w:w="10070"/>
      </w:tblGrid>
      <w:tr w:rsidR="00A036AC" w:rsidRPr="006E21E4" w14:paraId="51BF3BF4" w14:textId="77777777" w:rsidTr="00442B7D">
        <w:tc>
          <w:tcPr>
            <w:tcW w:w="5035" w:type="dxa"/>
            <w:shd w:val="clear" w:color="auto" w:fill="005072"/>
          </w:tcPr>
          <w:p w14:paraId="3221B23A" w14:textId="77777777" w:rsidR="00A036AC" w:rsidRPr="00442B7D" w:rsidRDefault="00A036AC" w:rsidP="007D5177">
            <w:pPr>
              <w:jc w:val="center"/>
              <w:rPr>
                <w:rFonts w:ascii="Aptos" w:hAnsi="Aptos"/>
                <w:b/>
                <w:bCs/>
                <w:color w:val="FFFFFF" w:themeColor="background1"/>
              </w:rPr>
            </w:pPr>
            <w:r w:rsidRPr="00442B7D">
              <w:rPr>
                <w:rFonts w:ascii="Aptos" w:hAnsi="Aptos"/>
                <w:b/>
                <w:bCs/>
                <w:color w:val="FFFFFF" w:themeColor="background1"/>
              </w:rPr>
              <w:t>Standard 3: Criteria for Assessment and SVT Comments</w:t>
            </w:r>
          </w:p>
        </w:tc>
      </w:tr>
      <w:tr w:rsidR="00A036AC" w:rsidRPr="006E21E4" w14:paraId="33B6FE8A" w14:textId="77777777" w:rsidTr="005016CC">
        <w:tc>
          <w:tcPr>
            <w:tcW w:w="5035" w:type="dxa"/>
          </w:tcPr>
          <w:p w14:paraId="306BD429" w14:textId="77777777" w:rsidR="00A036AC" w:rsidRPr="005016CC" w:rsidRDefault="00A036AC" w:rsidP="00E0086F">
            <w:pPr>
              <w:pStyle w:val="ListParagraph"/>
              <w:numPr>
                <w:ilvl w:val="0"/>
                <w:numId w:val="14"/>
              </w:numPr>
              <w:rPr>
                <w:rFonts w:ascii="Aptos" w:hAnsi="Aptos"/>
                <w:b/>
                <w:bCs/>
                <w:sz w:val="20"/>
              </w:rPr>
            </w:pPr>
            <w:r w:rsidRPr="005016CC">
              <w:rPr>
                <w:rFonts w:ascii="Aptos" w:hAnsi="Aptos"/>
                <w:sz w:val="20"/>
              </w:rPr>
              <w:t xml:space="preserve">Curricula and program delivery achieve stated learning outcomes.  </w:t>
            </w:r>
          </w:p>
        </w:tc>
      </w:tr>
      <w:tr w:rsidR="00A036AC" w:rsidRPr="006E21E4" w14:paraId="2B259DEB" w14:textId="77777777" w:rsidTr="005016CC">
        <w:tc>
          <w:tcPr>
            <w:tcW w:w="5035" w:type="dxa"/>
            <w:shd w:val="clear" w:color="auto" w:fill="EAF6FC"/>
          </w:tcPr>
          <w:p w14:paraId="0E4FBF37" w14:textId="77777777" w:rsidR="00A036AC" w:rsidRPr="005016CC" w:rsidRDefault="00A036AC"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t>Site Visit Team Comments</w:t>
            </w:r>
          </w:p>
          <w:p w14:paraId="2467549C" w14:textId="77777777" w:rsidR="00A036AC" w:rsidRPr="005016CC" w:rsidRDefault="00A036AC" w:rsidP="007D5177">
            <w:pPr>
              <w:rPr>
                <w:rStyle w:val="normaltextrun"/>
                <w:rFonts w:ascii="Aptos" w:hAnsi="Aptos"/>
                <w:sz w:val="20"/>
                <w:shd w:val="clear" w:color="auto" w:fill="FFFFFF"/>
              </w:rPr>
            </w:pPr>
          </w:p>
        </w:tc>
      </w:tr>
      <w:tr w:rsidR="00A036AC" w:rsidRPr="006E21E4" w14:paraId="6534EA4A" w14:textId="77777777" w:rsidTr="005016CC">
        <w:tc>
          <w:tcPr>
            <w:tcW w:w="5035" w:type="dxa"/>
          </w:tcPr>
          <w:p w14:paraId="5D281184" w14:textId="77777777" w:rsidR="00A036AC" w:rsidRPr="005016CC" w:rsidRDefault="00A036AC" w:rsidP="00E0086F">
            <w:pPr>
              <w:pStyle w:val="paragraph"/>
              <w:numPr>
                <w:ilvl w:val="0"/>
                <w:numId w:val="14"/>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Processes exist to develop and assess curricula and teaching practices, and to implement the results of those assessments in ongoing development.</w:t>
            </w:r>
            <w:r w:rsidRPr="005016CC">
              <w:rPr>
                <w:rStyle w:val="eop"/>
                <w:rFonts w:ascii="Aptos" w:eastAsiaTheme="majorEastAsia" w:hAnsi="Aptos"/>
                <w:sz w:val="20"/>
                <w:szCs w:val="20"/>
              </w:rPr>
              <w:t> </w:t>
            </w:r>
          </w:p>
        </w:tc>
      </w:tr>
      <w:tr w:rsidR="00A036AC" w:rsidRPr="003A2ACF" w14:paraId="417BD7FB" w14:textId="77777777" w:rsidTr="005016CC">
        <w:tc>
          <w:tcPr>
            <w:tcW w:w="5035" w:type="dxa"/>
            <w:shd w:val="clear" w:color="auto" w:fill="EAF6FC"/>
          </w:tcPr>
          <w:p w14:paraId="3A0D03F5" w14:textId="77777777" w:rsidR="00A036AC" w:rsidRPr="005016CC" w:rsidRDefault="00A036AC"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t>Site Visit Team Comments</w:t>
            </w:r>
          </w:p>
          <w:p w14:paraId="205D9723" w14:textId="77777777" w:rsidR="00A036AC" w:rsidRPr="005016CC" w:rsidRDefault="00A036AC" w:rsidP="007D5177">
            <w:pPr>
              <w:pStyle w:val="paragraph"/>
              <w:spacing w:before="0" w:beforeAutospacing="0" w:after="0" w:afterAutospacing="0"/>
              <w:textAlignment w:val="baseline"/>
              <w:rPr>
                <w:rStyle w:val="normaltextrun"/>
                <w:rFonts w:ascii="Aptos" w:hAnsi="Aptos"/>
                <w:sz w:val="20"/>
                <w:szCs w:val="20"/>
              </w:rPr>
            </w:pPr>
          </w:p>
        </w:tc>
      </w:tr>
      <w:tr w:rsidR="00A036AC" w:rsidRPr="006E21E4" w14:paraId="3AB0659A" w14:textId="77777777" w:rsidTr="005016CC">
        <w:tc>
          <w:tcPr>
            <w:tcW w:w="5035" w:type="dxa"/>
          </w:tcPr>
          <w:p w14:paraId="47198FD9" w14:textId="77777777" w:rsidR="00A036AC" w:rsidRPr="005016CC" w:rsidRDefault="00A036AC" w:rsidP="00E0086F">
            <w:pPr>
              <w:pStyle w:val="ListParagraph"/>
              <w:numPr>
                <w:ilvl w:val="0"/>
                <w:numId w:val="14"/>
              </w:numPr>
              <w:autoSpaceDE w:val="0"/>
              <w:autoSpaceDN w:val="0"/>
              <w:adjustRightInd w:val="0"/>
              <w:rPr>
                <w:rFonts w:ascii="Aptos" w:hAnsi="Aptos" w:cs="Cambria"/>
                <w:sz w:val="20"/>
              </w:rPr>
            </w:pPr>
            <w:r w:rsidRPr="005016CC">
              <w:rPr>
                <w:rStyle w:val="normaltextrun"/>
                <w:rFonts w:ascii="Aptos" w:hAnsi="Aptos"/>
                <w:sz w:val="20"/>
              </w:rPr>
              <w:t>Learning and assessment is informed by research and/or scholarship (Adapted from UK QAA).</w:t>
            </w:r>
            <w:r w:rsidRPr="005016CC">
              <w:rPr>
                <w:rStyle w:val="eop"/>
                <w:rFonts w:ascii="Aptos" w:hAnsi="Aptos"/>
                <w:sz w:val="20"/>
              </w:rPr>
              <w:t> </w:t>
            </w:r>
          </w:p>
        </w:tc>
      </w:tr>
      <w:tr w:rsidR="00A036AC" w:rsidRPr="006E21E4" w14:paraId="097C89E6" w14:textId="77777777" w:rsidTr="005016CC">
        <w:tc>
          <w:tcPr>
            <w:tcW w:w="5035" w:type="dxa"/>
            <w:shd w:val="clear" w:color="auto" w:fill="EAF6FC"/>
          </w:tcPr>
          <w:p w14:paraId="1C36A2C2" w14:textId="77777777" w:rsidR="00A036AC" w:rsidRPr="005016CC" w:rsidRDefault="00A036AC"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t>Site Visit Team Comments</w:t>
            </w:r>
          </w:p>
          <w:p w14:paraId="770EAFD6" w14:textId="77777777" w:rsidR="00A036AC" w:rsidRPr="005016CC" w:rsidRDefault="00A036AC" w:rsidP="007D5177">
            <w:pPr>
              <w:autoSpaceDE w:val="0"/>
              <w:autoSpaceDN w:val="0"/>
              <w:adjustRightInd w:val="0"/>
              <w:rPr>
                <w:rStyle w:val="normaltextrun"/>
                <w:rFonts w:ascii="Aptos" w:hAnsi="Aptos"/>
                <w:sz w:val="20"/>
              </w:rPr>
            </w:pPr>
          </w:p>
        </w:tc>
      </w:tr>
      <w:tr w:rsidR="00A036AC" w:rsidRPr="006E21E4" w14:paraId="17C12619" w14:textId="77777777" w:rsidTr="005016CC">
        <w:tc>
          <w:tcPr>
            <w:tcW w:w="5035" w:type="dxa"/>
          </w:tcPr>
          <w:p w14:paraId="09C2F86D" w14:textId="77777777" w:rsidR="00A036AC" w:rsidRPr="005016CC" w:rsidRDefault="00A036AC" w:rsidP="00E0086F">
            <w:pPr>
              <w:pStyle w:val="ListParagraph"/>
              <w:numPr>
                <w:ilvl w:val="0"/>
                <w:numId w:val="14"/>
              </w:numPr>
              <w:rPr>
                <w:rFonts w:ascii="Aptos" w:hAnsi="Aptos" w:cs="Cambria"/>
                <w:b/>
                <w:bCs/>
                <w:sz w:val="20"/>
              </w:rPr>
            </w:pPr>
            <w:r w:rsidRPr="005016CC">
              <w:rPr>
                <w:rFonts w:ascii="Aptos" w:hAnsi="Aptos" w:cs="Cambria"/>
                <w:sz w:val="20"/>
              </w:rPr>
              <w:lastRenderedPageBreak/>
              <w:t xml:space="preserve">Faculty involved in teaching and/or supervising research are appropriately qualified and supported to enhance their teaching and supervisory practice. Research degrees are delivered in supportive environments that are conducive to learning and research. (Adapted from UK QAA). </w:t>
            </w:r>
          </w:p>
        </w:tc>
      </w:tr>
      <w:tr w:rsidR="00A036AC" w:rsidRPr="006E21E4" w14:paraId="326BB68F" w14:textId="77777777" w:rsidTr="005016CC">
        <w:tc>
          <w:tcPr>
            <w:tcW w:w="5035" w:type="dxa"/>
            <w:shd w:val="clear" w:color="auto" w:fill="EAF6FC"/>
          </w:tcPr>
          <w:p w14:paraId="67DF3EE8" w14:textId="77777777" w:rsidR="00A036AC" w:rsidRPr="005016CC" w:rsidRDefault="00A036AC"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t>Site Visit Team Comments</w:t>
            </w:r>
          </w:p>
          <w:p w14:paraId="7A7D4277" w14:textId="77777777" w:rsidR="00A036AC" w:rsidRPr="005016CC" w:rsidRDefault="00A036AC" w:rsidP="007D5177">
            <w:pPr>
              <w:rPr>
                <w:rStyle w:val="normaltextrun"/>
                <w:rFonts w:ascii="Aptos" w:hAnsi="Aptos"/>
                <w:sz w:val="20"/>
                <w:shd w:val="clear" w:color="auto" w:fill="FFFFFF"/>
              </w:rPr>
            </w:pPr>
          </w:p>
        </w:tc>
      </w:tr>
    </w:tbl>
    <w:p w14:paraId="69475201" w14:textId="77777777" w:rsidR="00A036AC" w:rsidRPr="006E21E4" w:rsidRDefault="00A036AC" w:rsidP="00A036AC">
      <w:pPr>
        <w:pStyle w:val="Heading1"/>
        <w:rPr>
          <w:i/>
          <w:iCs/>
          <w:sz w:val="20"/>
          <w:szCs w:val="20"/>
        </w:rPr>
      </w:pPr>
      <w:r w:rsidRPr="006E21E4">
        <w:t>Standard 4: Research, Scholarly, and Creative Work</w:t>
      </w:r>
    </w:p>
    <w:tbl>
      <w:tblPr>
        <w:tblStyle w:val="TableGrid"/>
        <w:tblW w:w="5000" w:type="pct"/>
        <w:jc w:val="center"/>
        <w:tblLook w:val="04A0" w:firstRow="1" w:lastRow="0" w:firstColumn="1" w:lastColumn="0" w:noHBand="0" w:noVBand="1"/>
      </w:tblPr>
      <w:tblGrid>
        <w:gridCol w:w="10070"/>
      </w:tblGrid>
      <w:tr w:rsidR="005016CC" w:rsidRPr="005016CC" w14:paraId="60226757" w14:textId="77777777" w:rsidTr="00442B7D">
        <w:trPr>
          <w:jc w:val="center"/>
        </w:trPr>
        <w:tc>
          <w:tcPr>
            <w:tcW w:w="10070" w:type="dxa"/>
            <w:shd w:val="clear" w:color="auto" w:fill="005072"/>
          </w:tcPr>
          <w:p w14:paraId="7021EA32" w14:textId="064B0AED" w:rsidR="00A036AC" w:rsidRPr="00442B7D" w:rsidRDefault="005016CC" w:rsidP="005016CC">
            <w:pPr>
              <w:rPr>
                <w:rStyle w:val="cf01"/>
                <w:rFonts w:asciiTheme="minorHAnsi" w:eastAsiaTheme="majorEastAsia" w:hAnsiTheme="minorHAnsi"/>
                <w:color w:val="FFFFFF" w:themeColor="background1"/>
                <w:sz w:val="22"/>
                <w:szCs w:val="22"/>
              </w:rPr>
            </w:pPr>
            <w:r w:rsidRPr="00442B7D">
              <w:rPr>
                <w:rStyle w:val="cf01"/>
                <w:rFonts w:asciiTheme="minorHAnsi" w:eastAsiaTheme="majorEastAsia" w:hAnsiTheme="minorHAnsi"/>
                <w:color w:val="FFFFFF" w:themeColor="background1"/>
                <w:sz w:val="22"/>
                <w:szCs w:val="22"/>
              </w:rPr>
              <w:t xml:space="preserve">4) </w:t>
            </w:r>
            <w:r w:rsidR="00A036AC" w:rsidRPr="00442B7D">
              <w:rPr>
                <w:rStyle w:val="cf01"/>
                <w:rFonts w:asciiTheme="minorHAnsi" w:eastAsiaTheme="majorEastAsia" w:hAnsiTheme="minorHAnsi"/>
                <w:color w:val="FFFFFF" w:themeColor="background1"/>
                <w:sz w:val="22"/>
                <w:szCs w:val="22"/>
              </w:rPr>
              <w:t>Commitment to research, scholarly, and creative work.</w:t>
            </w:r>
          </w:p>
        </w:tc>
      </w:tr>
      <w:tr w:rsidR="005016CC" w:rsidRPr="005016CC" w14:paraId="05F77512" w14:textId="77777777" w:rsidTr="005016CC">
        <w:trPr>
          <w:jc w:val="center"/>
        </w:trPr>
        <w:tc>
          <w:tcPr>
            <w:tcW w:w="10070" w:type="dxa"/>
            <w:shd w:val="clear" w:color="auto" w:fill="EAF6FC"/>
          </w:tcPr>
          <w:p w14:paraId="22E35318" w14:textId="77777777" w:rsidR="00A036AC" w:rsidRPr="005016CC" w:rsidRDefault="00A036AC" w:rsidP="007D5177">
            <w:pPr>
              <w:contextualSpacing/>
              <w:jc w:val="center"/>
              <w:rPr>
                <w:rFonts w:cstheme="minorHAnsi"/>
                <w:b/>
                <w:bCs/>
                <w:szCs w:val="22"/>
              </w:rPr>
            </w:pPr>
            <w:r w:rsidRPr="005016CC">
              <w:rPr>
                <w:rFonts w:cstheme="minorHAnsi"/>
                <w:b/>
                <w:bCs/>
                <w:szCs w:val="22"/>
              </w:rPr>
              <w:t>AREAS OF FOCUS</w:t>
            </w:r>
          </w:p>
        </w:tc>
      </w:tr>
      <w:tr w:rsidR="005016CC" w:rsidRPr="005016CC" w14:paraId="62AB60A5" w14:textId="77777777" w:rsidTr="007D5177">
        <w:trPr>
          <w:jc w:val="center"/>
        </w:trPr>
        <w:tc>
          <w:tcPr>
            <w:tcW w:w="10070" w:type="dxa"/>
          </w:tcPr>
          <w:p w14:paraId="66584065" w14:textId="3D53D78E" w:rsidR="00A036AC" w:rsidRPr="005016CC" w:rsidRDefault="00A036AC" w:rsidP="007D5177">
            <w:pPr>
              <w:contextualSpacing/>
              <w:rPr>
                <w:rFonts w:cstheme="minorHAnsi"/>
                <w:sz w:val="20"/>
                <w:szCs w:val="18"/>
              </w:rPr>
            </w:pPr>
            <w:r w:rsidRPr="005016CC">
              <w:rPr>
                <w:rFonts w:cstheme="minorHAnsi"/>
                <w:sz w:val="20"/>
                <w:szCs w:val="18"/>
              </w:rPr>
              <w:t xml:space="preserve">Organizational commitment to workload guidelines and academic freedom supporting the pursuit of research, scholarly, and creative work, with an evaluation system that incentivizes and rewards these pursuits. </w:t>
            </w:r>
          </w:p>
        </w:tc>
      </w:tr>
    </w:tbl>
    <w:p w14:paraId="63A78C35" w14:textId="77777777" w:rsidR="00A036AC" w:rsidRDefault="00A036AC" w:rsidP="00A036AC">
      <w:pPr>
        <w:contextualSpacing/>
        <w:rPr>
          <w:rFonts w:ascii="Aptos" w:hAnsi="Aptos"/>
          <w:b/>
          <w:bCs/>
          <w:sz w:val="20"/>
          <w:szCs w:val="20"/>
        </w:rPr>
      </w:pPr>
    </w:p>
    <w:p w14:paraId="2DBAA72B" w14:textId="77777777" w:rsidR="00A036AC" w:rsidRPr="00C84191" w:rsidRDefault="00A036AC" w:rsidP="00A036AC">
      <w:pPr>
        <w:pStyle w:val="paragraph"/>
        <w:spacing w:before="0" w:beforeAutospacing="0" w:after="0" w:afterAutospacing="0"/>
        <w:rPr>
          <w:rFonts w:ascii="Aptos" w:hAnsi="Aptos"/>
          <w:sz w:val="22"/>
          <w:szCs w:val="22"/>
        </w:rPr>
      </w:pPr>
      <w:r w:rsidRPr="00C84191">
        <w:rPr>
          <w:rFonts w:ascii="Aptos" w:hAnsi="Aptos"/>
          <w:b/>
          <w:bCs/>
          <w:sz w:val="22"/>
          <w:szCs w:val="22"/>
        </w:rPr>
        <w:t>Examples of recommended evidence</w:t>
      </w:r>
    </w:p>
    <w:p w14:paraId="6CABF542" w14:textId="77777777" w:rsidR="00A036AC" w:rsidRPr="00C84191" w:rsidRDefault="00A036AC" w:rsidP="00E0086F">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Institutional Research Plan (or equivalent)</w:t>
      </w:r>
      <w:r w:rsidRPr="00C84191">
        <w:rPr>
          <w:rStyle w:val="eop"/>
          <w:rFonts w:ascii="Aptos" w:eastAsiaTheme="majorEastAsia" w:hAnsi="Aptos"/>
          <w:color w:val="000000"/>
          <w:sz w:val="20"/>
          <w:szCs w:val="20"/>
        </w:rPr>
        <w:t> </w:t>
      </w:r>
    </w:p>
    <w:p w14:paraId="1BECE09C" w14:textId="77777777" w:rsidR="00A036AC" w:rsidRPr="00C84191" w:rsidRDefault="00A036AC" w:rsidP="00E0086F">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Two most recent reports by the Vice President of Research (or equivalent) </w:t>
      </w:r>
      <w:r w:rsidRPr="00C84191">
        <w:rPr>
          <w:rStyle w:val="eop"/>
          <w:rFonts w:ascii="Aptos" w:eastAsiaTheme="majorEastAsia" w:hAnsi="Aptos"/>
          <w:color w:val="000000"/>
          <w:sz w:val="20"/>
          <w:szCs w:val="20"/>
        </w:rPr>
        <w:t> </w:t>
      </w:r>
    </w:p>
    <w:p w14:paraId="69718F6B" w14:textId="77777777" w:rsidR="00A036AC" w:rsidRPr="00C84191" w:rsidRDefault="00A036AC" w:rsidP="00E0086F">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Policies outlining the institution’s definition of scholarship and how it is assessed, supported, funded, rewarded, and recorded</w:t>
      </w:r>
      <w:r w:rsidRPr="00C84191">
        <w:rPr>
          <w:rStyle w:val="eop"/>
          <w:rFonts w:ascii="Aptos" w:eastAsiaTheme="majorEastAsia" w:hAnsi="Aptos"/>
          <w:color w:val="000000"/>
          <w:sz w:val="20"/>
          <w:szCs w:val="20"/>
        </w:rPr>
        <w:t> </w:t>
      </w:r>
    </w:p>
    <w:p w14:paraId="4497F867" w14:textId="77777777" w:rsidR="00A036AC" w:rsidRPr="00C84191" w:rsidRDefault="00A036AC" w:rsidP="00E0086F">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sz w:val="20"/>
          <w:szCs w:val="20"/>
        </w:rPr>
        <w:t>Staff in place to assist faculty and staff in developing, submitting, and supporting research funding applications, preparing publications and presentations.</w:t>
      </w:r>
      <w:r w:rsidRPr="00C84191">
        <w:rPr>
          <w:rStyle w:val="eop"/>
          <w:rFonts w:ascii="Aptos" w:eastAsiaTheme="majorEastAsia" w:hAnsi="Aptos"/>
          <w:sz w:val="20"/>
          <w:szCs w:val="20"/>
        </w:rPr>
        <w:t> </w:t>
      </w:r>
    </w:p>
    <w:p w14:paraId="15215CEA" w14:textId="77777777" w:rsidR="00A036AC" w:rsidRPr="00C84191" w:rsidRDefault="00A036AC" w:rsidP="00E0086F">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sz w:val="20"/>
          <w:szCs w:val="20"/>
        </w:rPr>
        <w:t>Summary of research space and equipment to support faculty and student research </w:t>
      </w:r>
      <w:r w:rsidRPr="00C84191">
        <w:rPr>
          <w:rStyle w:val="eop"/>
          <w:rFonts w:ascii="Aptos" w:eastAsiaTheme="majorEastAsia" w:hAnsi="Aptos"/>
          <w:sz w:val="20"/>
          <w:szCs w:val="20"/>
        </w:rPr>
        <w:t> </w:t>
      </w:r>
    </w:p>
    <w:p w14:paraId="3BF63A26" w14:textId="77777777" w:rsidR="00A036AC" w:rsidRPr="00C84191" w:rsidRDefault="00A036AC" w:rsidP="00E0086F">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sz w:val="20"/>
          <w:szCs w:val="20"/>
        </w:rPr>
        <w:t>Student Research symposia and/or other opportunities to showcase faculty and student scholarly work.</w:t>
      </w:r>
      <w:r w:rsidRPr="00C84191">
        <w:rPr>
          <w:rStyle w:val="eop"/>
          <w:rFonts w:ascii="Aptos" w:eastAsiaTheme="majorEastAsia" w:hAnsi="Aptos"/>
          <w:sz w:val="20"/>
          <w:szCs w:val="20"/>
        </w:rPr>
        <w:t> </w:t>
      </w:r>
    </w:p>
    <w:p w14:paraId="7021A608" w14:textId="77777777" w:rsidR="00A036AC" w:rsidRPr="00C84191" w:rsidRDefault="00A036AC" w:rsidP="00E0086F">
      <w:pPr>
        <w:pStyle w:val="paragraph"/>
        <w:numPr>
          <w:ilvl w:val="0"/>
          <w:numId w:val="15"/>
        </w:numPr>
        <w:spacing w:before="0" w:beforeAutospacing="0" w:after="0" w:afterAutospacing="0"/>
        <w:textAlignment w:val="baseline"/>
        <w:rPr>
          <w:rStyle w:val="normaltextrun"/>
          <w:rFonts w:ascii="Aptos" w:hAnsi="Aptos"/>
          <w:sz w:val="20"/>
          <w:szCs w:val="20"/>
          <w:lang w:val="en-US"/>
        </w:rPr>
      </w:pPr>
      <w:r w:rsidRPr="00C84191">
        <w:rPr>
          <w:rStyle w:val="normaltextrun"/>
          <w:rFonts w:ascii="Aptos" w:hAnsi="Aptos"/>
          <w:color w:val="000000"/>
          <w:sz w:val="20"/>
          <w:szCs w:val="20"/>
        </w:rPr>
        <w:t xml:space="preserve">Brief CVs (using CAQC CV Template) of Permanent/Continuous/Tenure/Tenure Track Faculty who will anchor degrees (e.g. faculty with primary/core responsibility for proposed degrees or who will primarily teach within degree programs moving forward). </w:t>
      </w:r>
    </w:p>
    <w:p w14:paraId="55EB8621" w14:textId="77777777" w:rsidR="00A036AC" w:rsidRPr="00C84191" w:rsidRDefault="00A036AC" w:rsidP="00E0086F">
      <w:pPr>
        <w:pStyle w:val="paragraph"/>
        <w:numPr>
          <w:ilvl w:val="1"/>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themeColor="text1"/>
          <w:sz w:val="20"/>
          <w:szCs w:val="20"/>
        </w:rPr>
        <w:t>Note, additional faculty CVs will be required connected to specific Program Proposals. </w:t>
      </w:r>
      <w:r w:rsidRPr="00C84191">
        <w:rPr>
          <w:rStyle w:val="eop"/>
          <w:rFonts w:ascii="Aptos" w:eastAsiaTheme="majorEastAsia" w:hAnsi="Aptos"/>
          <w:color w:val="000000" w:themeColor="text1"/>
          <w:sz w:val="20"/>
          <w:szCs w:val="20"/>
        </w:rPr>
        <w:t> </w:t>
      </w:r>
    </w:p>
    <w:p w14:paraId="47857854" w14:textId="77777777" w:rsidR="00A036AC" w:rsidRPr="00C84191" w:rsidRDefault="00A036AC" w:rsidP="00E0086F">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Human and Animal Research Ethics Policies and Review Boards (if applicable)</w:t>
      </w:r>
      <w:r w:rsidRPr="00C84191">
        <w:rPr>
          <w:rStyle w:val="eop"/>
          <w:rFonts w:ascii="Aptos" w:eastAsiaTheme="majorEastAsia" w:hAnsi="Aptos"/>
          <w:color w:val="000000"/>
          <w:sz w:val="20"/>
          <w:szCs w:val="20"/>
        </w:rPr>
        <w:t> </w:t>
      </w:r>
    </w:p>
    <w:p w14:paraId="66660E46" w14:textId="77777777" w:rsidR="00A036AC" w:rsidRPr="00C84191" w:rsidRDefault="00A036AC" w:rsidP="00A036AC"/>
    <w:p w14:paraId="743E7283" w14:textId="77777777" w:rsidR="00A036AC" w:rsidRPr="00C84191" w:rsidRDefault="00A036AC" w:rsidP="00A036AC">
      <w:pPr>
        <w:rPr>
          <w:rFonts w:ascii="Aptos" w:hAnsi="Aptos"/>
          <w:b/>
          <w:bCs/>
        </w:rPr>
      </w:pPr>
      <w:r w:rsidRPr="00C84191">
        <w:rPr>
          <w:rFonts w:ascii="Aptos" w:hAnsi="Aptos"/>
          <w:b/>
          <w:bCs/>
        </w:rPr>
        <w:t xml:space="preserve">Based on the evidence provided, the Organization: </w:t>
      </w:r>
    </w:p>
    <w:p w14:paraId="1ABBF8B0" w14:textId="77777777" w:rsidR="00A036AC" w:rsidRPr="006E21E4" w:rsidRDefault="00A036AC" w:rsidP="00A036AC">
      <w:pPr>
        <w:contextualSpacing/>
        <w:rPr>
          <w:rFonts w:ascii="Aptos" w:hAnsi="Aptos"/>
          <w:sz w:val="20"/>
          <w:szCs w:val="20"/>
        </w:rPr>
      </w:pPr>
      <w:r w:rsidRPr="006E21E4">
        <w:rPr>
          <w:rFonts w:ascii="Aptos" w:hAnsi="Aptos"/>
          <w:sz w:val="20"/>
          <w:szCs w:val="20"/>
        </w:rPr>
        <w:t>______ fails to meet the criteria</w:t>
      </w:r>
    </w:p>
    <w:p w14:paraId="38403D66" w14:textId="77777777" w:rsidR="00A036AC" w:rsidRPr="006E21E4" w:rsidRDefault="00A036AC" w:rsidP="00A036AC">
      <w:pPr>
        <w:contextualSpacing/>
        <w:rPr>
          <w:rFonts w:ascii="Aptos" w:hAnsi="Aptos"/>
          <w:sz w:val="20"/>
          <w:szCs w:val="20"/>
        </w:rPr>
      </w:pPr>
      <w:r w:rsidRPr="006E21E4">
        <w:rPr>
          <w:rFonts w:ascii="Aptos" w:hAnsi="Aptos"/>
          <w:sz w:val="20"/>
          <w:szCs w:val="20"/>
        </w:rPr>
        <w:t>______ meets or exceeds the criteria</w:t>
      </w:r>
    </w:p>
    <w:p w14:paraId="13803425" w14:textId="77777777" w:rsidR="00A036AC" w:rsidRPr="006E21E4" w:rsidRDefault="00A036AC" w:rsidP="00A036AC">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385D2ADC" w14:textId="77777777" w:rsidR="00A036AC" w:rsidRPr="006E21E4" w:rsidRDefault="00A036AC" w:rsidP="00A036AC">
      <w:pPr>
        <w:contextualSpacing/>
        <w:rPr>
          <w:rFonts w:ascii="Aptos" w:hAnsi="Aptos"/>
          <w:sz w:val="20"/>
          <w:szCs w:val="20"/>
        </w:rPr>
      </w:pPr>
    </w:p>
    <w:p w14:paraId="69421555" w14:textId="77777777" w:rsidR="00A036AC" w:rsidRPr="0053703C" w:rsidRDefault="00A036AC" w:rsidP="005016CC">
      <w:pPr>
        <w:pStyle w:val="Heading2"/>
      </w:pPr>
      <w:r w:rsidRPr="0053703C">
        <w:t>Rationale for Determination</w:t>
      </w:r>
    </w:p>
    <w:p w14:paraId="27394ECC" w14:textId="77777777" w:rsidR="00A036AC" w:rsidRPr="005852CF" w:rsidRDefault="00A036AC" w:rsidP="00A036AC">
      <w:pPr>
        <w:rPr>
          <w:rFonts w:ascii="Aptos" w:hAnsi="Aptos"/>
        </w:rPr>
      </w:pPr>
      <w:r w:rsidRPr="006E21E4">
        <w:rPr>
          <w:rFonts w:ascii="Aptos" w:hAnsi="Aptos"/>
        </w:rPr>
        <w:t>The rationale is….</w:t>
      </w:r>
    </w:p>
    <w:p w14:paraId="5C90B7AF" w14:textId="77777777" w:rsidR="00A036AC" w:rsidRPr="0053703C" w:rsidRDefault="00A036AC" w:rsidP="005016CC">
      <w:pPr>
        <w:pStyle w:val="Heading2"/>
      </w:pPr>
      <w:r w:rsidRPr="0053703C">
        <w:t>Conditions/Recommendations</w:t>
      </w:r>
    </w:p>
    <w:p w14:paraId="36E38AAB" w14:textId="77777777" w:rsidR="00A036AC" w:rsidRPr="00C32893" w:rsidRDefault="00A036AC" w:rsidP="00E0086F">
      <w:pPr>
        <w:pStyle w:val="ListParagraph"/>
        <w:numPr>
          <w:ilvl w:val="0"/>
          <w:numId w:val="20"/>
        </w:numPr>
        <w:spacing w:after="160"/>
        <w:rPr>
          <w:rFonts w:ascii="Aptos" w:hAnsi="Aptos"/>
        </w:rPr>
      </w:pPr>
      <w:r w:rsidRPr="00C32893">
        <w:rPr>
          <w:rFonts w:ascii="Aptos" w:hAnsi="Aptos"/>
        </w:rPr>
        <w:t>Condition 1</w:t>
      </w:r>
    </w:p>
    <w:p w14:paraId="524B90A5" w14:textId="77777777" w:rsidR="00A036AC" w:rsidRPr="00DE5DF3" w:rsidRDefault="00A036AC" w:rsidP="00E0086F">
      <w:pPr>
        <w:pStyle w:val="ListParagraph"/>
        <w:numPr>
          <w:ilvl w:val="0"/>
          <w:numId w:val="20"/>
        </w:numPr>
        <w:spacing w:after="160"/>
        <w:rPr>
          <w:rFonts w:ascii="Aptos" w:hAnsi="Aptos"/>
        </w:rPr>
      </w:pPr>
      <w:r w:rsidRPr="00C32893">
        <w:rPr>
          <w:rFonts w:ascii="Aptos" w:hAnsi="Aptos"/>
        </w:rPr>
        <w:t>Condition 2…</w:t>
      </w:r>
    </w:p>
    <w:tbl>
      <w:tblPr>
        <w:tblStyle w:val="TableGrid"/>
        <w:tblW w:w="5000" w:type="pct"/>
        <w:tblLook w:val="04A0" w:firstRow="1" w:lastRow="0" w:firstColumn="1" w:lastColumn="0" w:noHBand="0" w:noVBand="1"/>
      </w:tblPr>
      <w:tblGrid>
        <w:gridCol w:w="10070"/>
      </w:tblGrid>
      <w:tr w:rsidR="005016CC" w:rsidRPr="005016CC" w14:paraId="64582988" w14:textId="77777777" w:rsidTr="00442B7D">
        <w:tc>
          <w:tcPr>
            <w:tcW w:w="10070" w:type="dxa"/>
            <w:shd w:val="clear" w:color="auto" w:fill="005072"/>
          </w:tcPr>
          <w:p w14:paraId="37F8F191" w14:textId="77777777" w:rsidR="00A036AC" w:rsidRPr="00442B7D" w:rsidRDefault="00A036AC" w:rsidP="007D5177">
            <w:pPr>
              <w:jc w:val="center"/>
              <w:rPr>
                <w:rFonts w:ascii="Aptos" w:hAnsi="Aptos"/>
                <w:b/>
                <w:bCs/>
                <w:color w:val="FFFFFF" w:themeColor="background1"/>
              </w:rPr>
            </w:pPr>
            <w:r w:rsidRPr="00442B7D">
              <w:rPr>
                <w:rFonts w:ascii="Aptos" w:hAnsi="Aptos"/>
                <w:b/>
                <w:bCs/>
                <w:color w:val="FFFFFF" w:themeColor="background1"/>
              </w:rPr>
              <w:t>Standard 4: Criteria for Assessment and SVT Comments</w:t>
            </w:r>
          </w:p>
        </w:tc>
      </w:tr>
      <w:tr w:rsidR="005016CC" w:rsidRPr="005016CC" w14:paraId="56C688E0" w14:textId="77777777" w:rsidTr="005016CC">
        <w:tc>
          <w:tcPr>
            <w:tcW w:w="10070" w:type="dxa"/>
          </w:tcPr>
          <w:p w14:paraId="253E28CA" w14:textId="77777777" w:rsidR="00A036AC" w:rsidRPr="005016CC" w:rsidRDefault="00A036AC" w:rsidP="00E0086F">
            <w:pPr>
              <w:pStyle w:val="ListParagraph"/>
              <w:numPr>
                <w:ilvl w:val="0"/>
                <w:numId w:val="16"/>
              </w:numPr>
              <w:rPr>
                <w:rFonts w:ascii="Aptos" w:hAnsi="Aptos"/>
                <w:b/>
                <w:bCs/>
                <w:sz w:val="20"/>
              </w:rPr>
            </w:pPr>
            <w:r w:rsidRPr="005016CC">
              <w:rPr>
                <w:rFonts w:ascii="Aptos" w:hAnsi="Aptos"/>
                <w:sz w:val="20"/>
              </w:rPr>
              <w:t xml:space="preserve">Evidence exists that the organization is developing and fostering a culture of scholarship appropriate for a degree granting organization wherein the value of scholarly/creative activity and its peer review is embedded in the culture of the organization.  </w:t>
            </w:r>
          </w:p>
          <w:p w14:paraId="5CAF93D0" w14:textId="77777777" w:rsidR="00A036AC" w:rsidRPr="005016CC" w:rsidRDefault="00A036AC" w:rsidP="007D5177">
            <w:pPr>
              <w:pStyle w:val="ListParagraph"/>
              <w:rPr>
                <w:rFonts w:ascii="Aptos" w:hAnsi="Aptos"/>
                <w:b/>
                <w:bCs/>
                <w:sz w:val="20"/>
              </w:rPr>
            </w:pPr>
          </w:p>
        </w:tc>
      </w:tr>
      <w:tr w:rsidR="005016CC" w:rsidRPr="005016CC" w14:paraId="1EE9DEAA" w14:textId="77777777" w:rsidTr="005016CC">
        <w:tc>
          <w:tcPr>
            <w:tcW w:w="10070" w:type="dxa"/>
            <w:shd w:val="clear" w:color="auto" w:fill="EAF6FC"/>
          </w:tcPr>
          <w:p w14:paraId="197DCBF3" w14:textId="77777777" w:rsidR="00A036AC" w:rsidRPr="005016CC" w:rsidRDefault="00A036AC" w:rsidP="007D5177">
            <w:pPr>
              <w:rPr>
                <w:rFonts w:ascii="Aptos" w:hAnsi="Aptos"/>
                <w:b/>
                <w:bCs/>
                <w:sz w:val="20"/>
              </w:rPr>
            </w:pPr>
            <w:r w:rsidRPr="005016CC">
              <w:rPr>
                <w:rFonts w:ascii="Aptos" w:hAnsi="Aptos"/>
                <w:sz w:val="20"/>
              </w:rPr>
              <w:t>Site Visit Team Comments</w:t>
            </w:r>
          </w:p>
          <w:p w14:paraId="0A05E333" w14:textId="77777777" w:rsidR="00A036AC" w:rsidRPr="005016CC" w:rsidRDefault="00A036AC" w:rsidP="007D5177">
            <w:pPr>
              <w:rPr>
                <w:rFonts w:ascii="Aptos" w:hAnsi="Aptos"/>
                <w:b/>
                <w:bCs/>
                <w:sz w:val="20"/>
              </w:rPr>
            </w:pPr>
          </w:p>
        </w:tc>
      </w:tr>
      <w:tr w:rsidR="005016CC" w:rsidRPr="005016CC" w14:paraId="759788FF" w14:textId="77777777" w:rsidTr="005016CC">
        <w:tc>
          <w:tcPr>
            <w:tcW w:w="10070" w:type="dxa"/>
          </w:tcPr>
          <w:p w14:paraId="0D0FF002" w14:textId="77777777" w:rsidR="00A036AC" w:rsidRPr="005016CC" w:rsidRDefault="00A036AC" w:rsidP="00E0086F">
            <w:pPr>
              <w:pStyle w:val="ListParagraph"/>
              <w:numPr>
                <w:ilvl w:val="0"/>
                <w:numId w:val="16"/>
              </w:numPr>
              <w:rPr>
                <w:rFonts w:ascii="Aptos" w:hAnsi="Aptos" w:cs="Arial"/>
                <w:b/>
                <w:bCs/>
                <w:iCs/>
                <w:sz w:val="20"/>
              </w:rPr>
            </w:pPr>
            <w:r w:rsidRPr="005016CC">
              <w:rPr>
                <w:rFonts w:ascii="Aptos" w:hAnsi="Aptos" w:cs="Arial"/>
                <w:iCs/>
                <w:sz w:val="20"/>
              </w:rPr>
              <w:lastRenderedPageBreak/>
              <w:t xml:space="preserve">The organization provides academic staff with clear expectations regarding what constitutes scholarship within the context of the organization and proposed and future degree programming, distinct from professional development, service, and teaching expectations. </w:t>
            </w:r>
          </w:p>
          <w:p w14:paraId="377744CF" w14:textId="77777777" w:rsidR="00A036AC" w:rsidRPr="005016CC" w:rsidRDefault="00A036AC" w:rsidP="007D5177">
            <w:pPr>
              <w:pStyle w:val="ListParagraph"/>
              <w:rPr>
                <w:rFonts w:ascii="Aptos" w:hAnsi="Aptos" w:cs="Arial"/>
                <w:b/>
                <w:bCs/>
                <w:iCs/>
                <w:sz w:val="20"/>
              </w:rPr>
            </w:pPr>
          </w:p>
        </w:tc>
      </w:tr>
      <w:tr w:rsidR="005016CC" w:rsidRPr="005016CC" w14:paraId="7C4EEF9F" w14:textId="77777777" w:rsidTr="005016CC">
        <w:tc>
          <w:tcPr>
            <w:tcW w:w="10070" w:type="dxa"/>
            <w:shd w:val="clear" w:color="auto" w:fill="EAF6FC"/>
          </w:tcPr>
          <w:p w14:paraId="516F89A2" w14:textId="77777777" w:rsidR="00A036AC" w:rsidRPr="005016CC" w:rsidRDefault="00A036AC" w:rsidP="007D5177">
            <w:pPr>
              <w:rPr>
                <w:rFonts w:ascii="Aptos" w:hAnsi="Aptos"/>
                <w:b/>
                <w:bCs/>
                <w:sz w:val="20"/>
              </w:rPr>
            </w:pPr>
            <w:r w:rsidRPr="005016CC">
              <w:rPr>
                <w:rFonts w:ascii="Aptos" w:hAnsi="Aptos"/>
                <w:sz w:val="20"/>
              </w:rPr>
              <w:t>Site Visit Team Comments</w:t>
            </w:r>
          </w:p>
          <w:p w14:paraId="3EFFF460" w14:textId="77777777" w:rsidR="00A036AC" w:rsidRPr="005016CC" w:rsidRDefault="00A036AC" w:rsidP="007D5177">
            <w:pPr>
              <w:rPr>
                <w:rFonts w:ascii="Aptos" w:hAnsi="Aptos" w:cs="Arial"/>
                <w:iCs/>
                <w:sz w:val="20"/>
              </w:rPr>
            </w:pPr>
          </w:p>
        </w:tc>
      </w:tr>
      <w:tr w:rsidR="005016CC" w:rsidRPr="005016CC" w14:paraId="5249EDD6" w14:textId="77777777" w:rsidTr="005016CC">
        <w:tc>
          <w:tcPr>
            <w:tcW w:w="10070" w:type="dxa"/>
          </w:tcPr>
          <w:p w14:paraId="7B4BA46A" w14:textId="77777777" w:rsidR="00A036AC" w:rsidRPr="005016CC" w:rsidRDefault="00A036AC" w:rsidP="00E0086F">
            <w:pPr>
              <w:pStyle w:val="ListParagraph"/>
              <w:numPr>
                <w:ilvl w:val="0"/>
                <w:numId w:val="16"/>
              </w:numPr>
              <w:rPr>
                <w:rStyle w:val="normaltextrun"/>
                <w:rFonts w:ascii="Aptos" w:hAnsi="Aptos"/>
                <w:b/>
                <w:bCs/>
                <w:sz w:val="20"/>
              </w:rPr>
            </w:pPr>
            <w:r w:rsidRPr="005016CC">
              <w:rPr>
                <w:rStyle w:val="normaltextrun"/>
                <w:rFonts w:ascii="Aptos" w:hAnsi="Aptos"/>
                <w:sz w:val="20"/>
              </w:rPr>
              <w:t xml:space="preserve">The organization’s policies and procedures support and facilitate engagement by academic staff and students in scholarship and/or research or creative activity. Required policies, procedures, or manuals may include, but are not limited to: </w:t>
            </w:r>
          </w:p>
          <w:p w14:paraId="1FEF67E0" w14:textId="77777777" w:rsidR="00A036AC" w:rsidRPr="005016CC" w:rsidRDefault="00A036AC" w:rsidP="00E0086F">
            <w:pPr>
              <w:pStyle w:val="paragraph"/>
              <w:numPr>
                <w:ilvl w:val="1"/>
                <w:numId w:val="16"/>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Academic Freedom</w:t>
            </w:r>
            <w:r w:rsidRPr="005016CC">
              <w:rPr>
                <w:rStyle w:val="eop"/>
                <w:rFonts w:ascii="Aptos" w:eastAsiaTheme="majorEastAsia" w:hAnsi="Aptos"/>
                <w:sz w:val="20"/>
                <w:szCs w:val="20"/>
              </w:rPr>
              <w:t> </w:t>
            </w:r>
          </w:p>
          <w:p w14:paraId="3E70CF79" w14:textId="77777777" w:rsidR="00A036AC" w:rsidRPr="005016CC" w:rsidRDefault="00A036AC" w:rsidP="00E0086F">
            <w:pPr>
              <w:pStyle w:val="paragraph"/>
              <w:numPr>
                <w:ilvl w:val="1"/>
                <w:numId w:val="16"/>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Integrity in Research/Responsible Conduct in Research</w:t>
            </w:r>
            <w:r w:rsidRPr="005016CC">
              <w:rPr>
                <w:rStyle w:val="eop"/>
                <w:rFonts w:ascii="Aptos" w:eastAsiaTheme="majorEastAsia" w:hAnsi="Aptos"/>
                <w:sz w:val="20"/>
                <w:szCs w:val="20"/>
              </w:rPr>
              <w:t> </w:t>
            </w:r>
          </w:p>
          <w:p w14:paraId="08D4194C" w14:textId="77777777" w:rsidR="00A036AC" w:rsidRPr="005016CC" w:rsidRDefault="00A036AC" w:rsidP="00E0086F">
            <w:pPr>
              <w:pStyle w:val="paragraph"/>
              <w:numPr>
                <w:ilvl w:val="1"/>
                <w:numId w:val="16"/>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Intellectual Property – Faculty &amp; Student (separate or combined)</w:t>
            </w:r>
            <w:r w:rsidRPr="005016CC">
              <w:rPr>
                <w:rStyle w:val="eop"/>
                <w:rFonts w:ascii="Aptos" w:eastAsiaTheme="majorEastAsia" w:hAnsi="Aptos"/>
                <w:sz w:val="20"/>
                <w:szCs w:val="20"/>
              </w:rPr>
              <w:t> </w:t>
            </w:r>
          </w:p>
          <w:p w14:paraId="4BDB1EE6" w14:textId="77777777" w:rsidR="00A036AC" w:rsidRPr="005016CC" w:rsidRDefault="00A036AC" w:rsidP="00E0086F">
            <w:pPr>
              <w:pStyle w:val="paragraph"/>
              <w:numPr>
                <w:ilvl w:val="1"/>
                <w:numId w:val="16"/>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Information Access/Privacy </w:t>
            </w:r>
            <w:r w:rsidRPr="005016CC">
              <w:rPr>
                <w:rStyle w:val="eop"/>
                <w:rFonts w:ascii="Aptos" w:eastAsiaTheme="majorEastAsia" w:hAnsi="Aptos"/>
                <w:sz w:val="20"/>
                <w:szCs w:val="20"/>
              </w:rPr>
              <w:t> </w:t>
            </w:r>
          </w:p>
          <w:p w14:paraId="303D306D" w14:textId="77777777" w:rsidR="00A036AC" w:rsidRPr="005016CC" w:rsidRDefault="00A036AC" w:rsidP="00E0086F">
            <w:pPr>
              <w:pStyle w:val="paragraph"/>
              <w:numPr>
                <w:ilvl w:val="1"/>
                <w:numId w:val="16"/>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Human Research Ethics (Human)</w:t>
            </w:r>
            <w:r w:rsidRPr="005016CC">
              <w:rPr>
                <w:rStyle w:val="eop"/>
                <w:rFonts w:ascii="Aptos" w:eastAsiaTheme="majorEastAsia" w:hAnsi="Aptos"/>
                <w:sz w:val="20"/>
                <w:szCs w:val="20"/>
              </w:rPr>
              <w:t> </w:t>
            </w:r>
          </w:p>
          <w:p w14:paraId="36779B64" w14:textId="77777777" w:rsidR="00A036AC" w:rsidRPr="005016CC" w:rsidRDefault="00A036AC" w:rsidP="00E0086F">
            <w:pPr>
              <w:pStyle w:val="paragraph"/>
              <w:numPr>
                <w:ilvl w:val="1"/>
                <w:numId w:val="16"/>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Animal Care / Ethics</w:t>
            </w:r>
            <w:r w:rsidRPr="005016CC">
              <w:rPr>
                <w:rStyle w:val="eop"/>
                <w:rFonts w:ascii="Aptos" w:eastAsiaTheme="majorEastAsia" w:hAnsi="Aptos"/>
                <w:sz w:val="20"/>
                <w:szCs w:val="20"/>
              </w:rPr>
              <w:t> </w:t>
            </w:r>
          </w:p>
          <w:p w14:paraId="25912458" w14:textId="77777777" w:rsidR="00A036AC" w:rsidRPr="005016CC" w:rsidRDefault="00A036AC" w:rsidP="00E0086F">
            <w:pPr>
              <w:pStyle w:val="paragraph"/>
              <w:numPr>
                <w:ilvl w:val="1"/>
                <w:numId w:val="16"/>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Research-related Financial Management (e.g. TAGFA, Support for Research, Contracts for Research, Research Overhead/Indirect Costs, Research Grant Management)</w:t>
            </w:r>
            <w:r w:rsidRPr="005016CC">
              <w:rPr>
                <w:rStyle w:val="eop"/>
                <w:rFonts w:ascii="Aptos" w:eastAsiaTheme="majorEastAsia" w:hAnsi="Aptos"/>
                <w:sz w:val="20"/>
                <w:szCs w:val="20"/>
              </w:rPr>
              <w:t> </w:t>
            </w:r>
          </w:p>
          <w:p w14:paraId="4C2C15B7" w14:textId="77777777" w:rsidR="00A036AC" w:rsidRPr="005016CC" w:rsidRDefault="00A036AC" w:rsidP="00E0086F">
            <w:pPr>
              <w:pStyle w:val="paragraph"/>
              <w:numPr>
                <w:ilvl w:val="1"/>
                <w:numId w:val="16"/>
              </w:numPr>
              <w:spacing w:before="0" w:beforeAutospacing="0" w:after="0" w:afterAutospacing="0"/>
              <w:textAlignment w:val="baseline"/>
              <w:rPr>
                <w:rFonts w:ascii="Aptos" w:hAnsi="Aptos"/>
                <w:sz w:val="20"/>
                <w:szCs w:val="20"/>
              </w:rPr>
            </w:pPr>
            <w:r w:rsidRPr="005016CC">
              <w:rPr>
                <w:rStyle w:val="normaltextrun"/>
                <w:rFonts w:ascii="Aptos" w:hAnsi="Aptos"/>
                <w:sz w:val="20"/>
                <w:szCs w:val="20"/>
              </w:rPr>
              <w:t>Research Data Management Strategy/Policy (Tri-Council requirement)</w:t>
            </w:r>
            <w:r w:rsidRPr="005016CC">
              <w:rPr>
                <w:rStyle w:val="eop"/>
                <w:rFonts w:ascii="Aptos" w:eastAsiaTheme="majorEastAsia" w:hAnsi="Aptos"/>
                <w:sz w:val="20"/>
                <w:szCs w:val="20"/>
              </w:rPr>
              <w:t> </w:t>
            </w:r>
          </w:p>
        </w:tc>
      </w:tr>
      <w:tr w:rsidR="005016CC" w:rsidRPr="005016CC" w14:paraId="4DDC11D8" w14:textId="77777777" w:rsidTr="005016CC">
        <w:tc>
          <w:tcPr>
            <w:tcW w:w="10070" w:type="dxa"/>
            <w:shd w:val="clear" w:color="auto" w:fill="EAF6FC"/>
          </w:tcPr>
          <w:p w14:paraId="79361B35" w14:textId="77777777" w:rsidR="00A036AC" w:rsidRPr="005016CC" w:rsidRDefault="00A036AC" w:rsidP="007D5177">
            <w:pPr>
              <w:rPr>
                <w:rFonts w:ascii="Aptos" w:hAnsi="Aptos"/>
                <w:b/>
                <w:bCs/>
                <w:sz w:val="20"/>
              </w:rPr>
            </w:pPr>
            <w:r w:rsidRPr="005016CC">
              <w:rPr>
                <w:rFonts w:ascii="Aptos" w:hAnsi="Aptos"/>
                <w:sz w:val="20"/>
              </w:rPr>
              <w:t>Site Visit Team Comments</w:t>
            </w:r>
          </w:p>
          <w:p w14:paraId="2BBEB2BF" w14:textId="77777777" w:rsidR="00A036AC" w:rsidRPr="005016CC" w:rsidRDefault="00A036AC" w:rsidP="007D5177">
            <w:pPr>
              <w:rPr>
                <w:rStyle w:val="normaltextrun"/>
                <w:rFonts w:ascii="Aptos" w:hAnsi="Aptos"/>
                <w:b/>
                <w:bCs/>
                <w:sz w:val="20"/>
              </w:rPr>
            </w:pPr>
          </w:p>
        </w:tc>
      </w:tr>
    </w:tbl>
    <w:p w14:paraId="0EA557C0" w14:textId="77777777" w:rsidR="00A036AC" w:rsidRDefault="00A036AC" w:rsidP="00A036AC">
      <w:pPr>
        <w:rPr>
          <w:rFonts w:ascii="Aptos" w:hAnsi="Aptos"/>
        </w:rPr>
      </w:pPr>
    </w:p>
    <w:p w14:paraId="782410C7" w14:textId="77777777" w:rsidR="00A036AC" w:rsidRPr="006E21E4" w:rsidRDefault="00A036AC" w:rsidP="00A036AC">
      <w:pPr>
        <w:pStyle w:val="Heading1"/>
      </w:pPr>
      <w:r w:rsidRPr="006E21E4">
        <w:t>Standard 5: Academic Quality Assurance</w:t>
      </w:r>
    </w:p>
    <w:tbl>
      <w:tblPr>
        <w:tblStyle w:val="TableGrid"/>
        <w:tblW w:w="0" w:type="auto"/>
        <w:tblLook w:val="04A0" w:firstRow="1" w:lastRow="0" w:firstColumn="1" w:lastColumn="0" w:noHBand="0" w:noVBand="1"/>
      </w:tblPr>
      <w:tblGrid>
        <w:gridCol w:w="10060"/>
      </w:tblGrid>
      <w:tr w:rsidR="00A036AC" w:rsidRPr="005016CC" w14:paraId="35B63971" w14:textId="77777777" w:rsidTr="00E0086F">
        <w:tc>
          <w:tcPr>
            <w:tcW w:w="10060" w:type="dxa"/>
            <w:shd w:val="clear" w:color="auto" w:fill="005072"/>
          </w:tcPr>
          <w:p w14:paraId="1AA48CB2" w14:textId="50696582" w:rsidR="00A036AC" w:rsidRPr="00442B7D" w:rsidRDefault="005016CC" w:rsidP="005016CC">
            <w:pPr>
              <w:rPr>
                <w:rStyle w:val="cf01"/>
                <w:rFonts w:ascii="Aptos" w:eastAsiaTheme="majorEastAsia" w:hAnsi="Aptos"/>
                <w:color w:val="FFFFFF" w:themeColor="background1"/>
                <w:sz w:val="22"/>
                <w:szCs w:val="22"/>
              </w:rPr>
            </w:pPr>
            <w:r w:rsidRPr="00442B7D">
              <w:rPr>
                <w:rStyle w:val="cf01"/>
                <w:rFonts w:ascii="Aptos" w:eastAsiaTheme="majorEastAsia" w:hAnsi="Aptos"/>
                <w:color w:val="FFFFFF" w:themeColor="background1"/>
                <w:sz w:val="22"/>
                <w:szCs w:val="22"/>
              </w:rPr>
              <w:t xml:space="preserve">5) </w:t>
            </w:r>
            <w:r w:rsidR="00A036AC" w:rsidRPr="00442B7D">
              <w:rPr>
                <w:rStyle w:val="cf01"/>
                <w:rFonts w:ascii="Aptos" w:eastAsiaTheme="majorEastAsia" w:hAnsi="Aptos"/>
                <w:color w:val="FFFFFF" w:themeColor="background1"/>
                <w:sz w:val="22"/>
                <w:szCs w:val="22"/>
              </w:rPr>
              <w:t>A culture of academic quality assurance.</w:t>
            </w:r>
          </w:p>
        </w:tc>
      </w:tr>
      <w:tr w:rsidR="00A036AC" w:rsidRPr="005016CC" w14:paraId="1D457514" w14:textId="77777777" w:rsidTr="00E0086F">
        <w:tc>
          <w:tcPr>
            <w:tcW w:w="10060" w:type="dxa"/>
            <w:shd w:val="clear" w:color="auto" w:fill="EAF6FC"/>
          </w:tcPr>
          <w:p w14:paraId="2AC68768" w14:textId="77777777" w:rsidR="00A036AC" w:rsidRPr="005016CC" w:rsidRDefault="00A036AC" w:rsidP="007D5177">
            <w:pPr>
              <w:contextualSpacing/>
              <w:jc w:val="center"/>
              <w:rPr>
                <w:rFonts w:ascii="Aptos" w:hAnsi="Aptos" w:cstheme="minorHAnsi"/>
                <w:b/>
                <w:bCs/>
                <w:szCs w:val="22"/>
              </w:rPr>
            </w:pPr>
            <w:r w:rsidRPr="005016CC">
              <w:rPr>
                <w:rFonts w:ascii="Aptos" w:hAnsi="Aptos" w:cstheme="minorHAnsi"/>
                <w:b/>
                <w:bCs/>
                <w:szCs w:val="22"/>
              </w:rPr>
              <w:t>AREAS OF FOCUS</w:t>
            </w:r>
          </w:p>
        </w:tc>
      </w:tr>
      <w:tr w:rsidR="00A036AC" w:rsidRPr="005016CC" w14:paraId="542F9ACE" w14:textId="77777777" w:rsidTr="00E0086F">
        <w:tc>
          <w:tcPr>
            <w:tcW w:w="10060" w:type="dxa"/>
          </w:tcPr>
          <w:p w14:paraId="0CA94102" w14:textId="77777777" w:rsidR="00A036AC" w:rsidRPr="005016CC" w:rsidRDefault="00A036AC" w:rsidP="007D5177">
            <w:pPr>
              <w:rPr>
                <w:rFonts w:ascii="Aptos" w:hAnsi="Aptos" w:cs="Calibri"/>
                <w:color w:val="000000"/>
                <w:szCs w:val="22"/>
              </w:rPr>
            </w:pPr>
            <w:r w:rsidRPr="005016CC">
              <w:rPr>
                <w:rFonts w:ascii="Aptos" w:hAnsi="Aptos" w:cs="Calibri"/>
                <w:color w:val="000000"/>
                <w:sz w:val="20"/>
              </w:rPr>
              <w:t xml:space="preserve">There are policy-based processes for ongoing and regular assessment of academic standards and quality, which include input from both students and experts external to the organization. There is evidence of consistent implementation of quality assurance processes and findings. </w:t>
            </w:r>
          </w:p>
        </w:tc>
      </w:tr>
    </w:tbl>
    <w:p w14:paraId="4152A9B3" w14:textId="77777777" w:rsidR="00A036AC" w:rsidRDefault="00A036AC" w:rsidP="00A036AC">
      <w:pPr>
        <w:contextualSpacing/>
        <w:rPr>
          <w:rFonts w:ascii="Aptos" w:hAnsi="Aptos"/>
          <w:b/>
          <w:bCs/>
          <w:i/>
          <w:iCs/>
          <w:sz w:val="20"/>
          <w:szCs w:val="20"/>
        </w:rPr>
      </w:pPr>
    </w:p>
    <w:p w14:paraId="1B452234" w14:textId="77777777" w:rsidR="00A036AC" w:rsidRPr="005016CC" w:rsidRDefault="00A036AC" w:rsidP="00A036AC">
      <w:pPr>
        <w:pStyle w:val="paragraph"/>
        <w:spacing w:before="0" w:beforeAutospacing="0" w:after="0" w:afterAutospacing="0"/>
        <w:rPr>
          <w:rFonts w:ascii="Aptos" w:hAnsi="Aptos"/>
          <w:sz w:val="22"/>
          <w:szCs w:val="22"/>
        </w:rPr>
      </w:pPr>
      <w:r w:rsidRPr="005016CC">
        <w:rPr>
          <w:rFonts w:ascii="Aptos" w:hAnsi="Aptos"/>
          <w:b/>
          <w:bCs/>
          <w:sz w:val="22"/>
          <w:szCs w:val="22"/>
        </w:rPr>
        <w:t>Examples of recommended evidence</w:t>
      </w:r>
    </w:p>
    <w:p w14:paraId="463DE721" w14:textId="77777777" w:rsidR="00A036AC" w:rsidRPr="005016CC" w:rsidRDefault="00A036AC" w:rsidP="00E0086F">
      <w:pPr>
        <w:pStyle w:val="paragraph"/>
        <w:numPr>
          <w:ilvl w:val="0"/>
          <w:numId w:val="11"/>
        </w:numPr>
        <w:spacing w:before="0" w:beforeAutospacing="0" w:after="0" w:afterAutospacing="0"/>
        <w:textAlignment w:val="baseline"/>
        <w:rPr>
          <w:rFonts w:ascii="Aptos" w:hAnsi="Aptos"/>
          <w:sz w:val="20"/>
          <w:szCs w:val="20"/>
        </w:rPr>
      </w:pPr>
      <w:r w:rsidRPr="005016CC">
        <w:rPr>
          <w:rStyle w:val="normaltextrun"/>
          <w:rFonts w:ascii="Aptos" w:hAnsi="Aptos"/>
          <w:color w:val="000000"/>
          <w:sz w:val="20"/>
          <w:szCs w:val="20"/>
        </w:rPr>
        <w:t>Institutional governance, policy/procedures related to quality assurance</w:t>
      </w:r>
      <w:r w:rsidRPr="005016CC">
        <w:rPr>
          <w:rStyle w:val="eop"/>
          <w:rFonts w:ascii="Aptos" w:eastAsiaTheme="majorEastAsia" w:hAnsi="Aptos"/>
          <w:color w:val="000000"/>
          <w:sz w:val="20"/>
          <w:szCs w:val="20"/>
        </w:rPr>
        <w:t> </w:t>
      </w:r>
    </w:p>
    <w:p w14:paraId="4FD8A658" w14:textId="77777777" w:rsidR="00A036AC" w:rsidRPr="005016CC" w:rsidRDefault="00A036AC" w:rsidP="00E0086F">
      <w:pPr>
        <w:pStyle w:val="paragraph"/>
        <w:numPr>
          <w:ilvl w:val="0"/>
          <w:numId w:val="11"/>
        </w:numPr>
        <w:spacing w:before="0" w:beforeAutospacing="0" w:after="0" w:afterAutospacing="0"/>
        <w:textAlignment w:val="baseline"/>
        <w:rPr>
          <w:rFonts w:ascii="Aptos" w:hAnsi="Aptos"/>
          <w:sz w:val="20"/>
          <w:szCs w:val="20"/>
        </w:rPr>
      </w:pPr>
      <w:r w:rsidRPr="005016CC">
        <w:rPr>
          <w:rStyle w:val="normaltextrun"/>
          <w:rFonts w:ascii="Aptos" w:hAnsi="Aptos"/>
          <w:color w:val="000000"/>
          <w:sz w:val="20"/>
          <w:szCs w:val="20"/>
        </w:rPr>
        <w:t>Evidence of annual or cyclical (ongoing) program reviews (or equivalent) and/or accreditation procedures</w:t>
      </w:r>
      <w:r w:rsidRPr="005016CC">
        <w:rPr>
          <w:rStyle w:val="eop"/>
          <w:rFonts w:ascii="Aptos" w:eastAsiaTheme="majorEastAsia" w:hAnsi="Aptos"/>
          <w:color w:val="000000"/>
          <w:sz w:val="20"/>
          <w:szCs w:val="20"/>
        </w:rPr>
        <w:t> </w:t>
      </w:r>
    </w:p>
    <w:p w14:paraId="45725124" w14:textId="77777777" w:rsidR="00A036AC" w:rsidRPr="005016CC" w:rsidRDefault="00A036AC" w:rsidP="00E0086F">
      <w:pPr>
        <w:pStyle w:val="paragraph"/>
        <w:numPr>
          <w:ilvl w:val="0"/>
          <w:numId w:val="11"/>
        </w:numPr>
        <w:spacing w:before="0" w:beforeAutospacing="0" w:after="0" w:afterAutospacing="0"/>
        <w:textAlignment w:val="baseline"/>
        <w:rPr>
          <w:rFonts w:ascii="Aptos" w:hAnsi="Aptos"/>
          <w:sz w:val="20"/>
          <w:szCs w:val="20"/>
        </w:rPr>
      </w:pPr>
      <w:r w:rsidRPr="005016CC">
        <w:rPr>
          <w:rStyle w:val="normaltextrun"/>
          <w:rFonts w:ascii="Aptos" w:hAnsi="Aptos"/>
          <w:color w:val="000000"/>
          <w:sz w:val="20"/>
          <w:szCs w:val="20"/>
        </w:rPr>
        <w:t>Engagement in external review processes, and accreditation where appropriate</w:t>
      </w:r>
      <w:r w:rsidRPr="005016CC">
        <w:rPr>
          <w:rStyle w:val="eop"/>
          <w:rFonts w:ascii="Aptos" w:eastAsiaTheme="majorEastAsia" w:hAnsi="Aptos"/>
          <w:color w:val="000000"/>
          <w:sz w:val="20"/>
          <w:szCs w:val="20"/>
        </w:rPr>
        <w:t> </w:t>
      </w:r>
    </w:p>
    <w:p w14:paraId="4D9F9D61" w14:textId="77777777" w:rsidR="00A036AC" w:rsidRPr="005016CC" w:rsidRDefault="00A036AC" w:rsidP="00E0086F">
      <w:pPr>
        <w:pStyle w:val="paragraph"/>
        <w:numPr>
          <w:ilvl w:val="0"/>
          <w:numId w:val="11"/>
        </w:numPr>
        <w:spacing w:before="0" w:beforeAutospacing="0" w:after="0" w:afterAutospacing="0"/>
        <w:textAlignment w:val="baseline"/>
        <w:rPr>
          <w:rStyle w:val="eop"/>
          <w:rFonts w:ascii="Aptos" w:hAnsi="Aptos"/>
          <w:sz w:val="20"/>
          <w:szCs w:val="20"/>
        </w:rPr>
      </w:pPr>
      <w:r w:rsidRPr="005016CC">
        <w:rPr>
          <w:rStyle w:val="normaltextrun"/>
          <w:rFonts w:ascii="Aptos" w:hAnsi="Aptos"/>
          <w:color w:val="000000"/>
          <w:sz w:val="20"/>
          <w:szCs w:val="20"/>
        </w:rPr>
        <w:t>Evidence of implementation of outcomes of quality assurance reviews and follow-up</w:t>
      </w:r>
      <w:r w:rsidRPr="005016CC">
        <w:rPr>
          <w:rStyle w:val="eop"/>
          <w:rFonts w:ascii="Aptos" w:eastAsiaTheme="majorEastAsia" w:hAnsi="Aptos"/>
          <w:color w:val="000000"/>
          <w:sz w:val="20"/>
          <w:szCs w:val="20"/>
        </w:rPr>
        <w:t> </w:t>
      </w:r>
    </w:p>
    <w:p w14:paraId="7F658121" w14:textId="77777777" w:rsidR="00A036AC" w:rsidRPr="005016CC" w:rsidRDefault="00A036AC" w:rsidP="00A036AC">
      <w:pPr>
        <w:pStyle w:val="paragraph"/>
        <w:spacing w:before="0" w:beforeAutospacing="0" w:after="0" w:afterAutospacing="0"/>
        <w:textAlignment w:val="baseline"/>
        <w:rPr>
          <w:rStyle w:val="eop"/>
          <w:rFonts w:eastAsiaTheme="majorEastAsia"/>
          <w:color w:val="000000"/>
        </w:rPr>
      </w:pPr>
    </w:p>
    <w:p w14:paraId="7417C898" w14:textId="77777777" w:rsidR="00A036AC" w:rsidRPr="005016CC" w:rsidRDefault="00A036AC" w:rsidP="00A036AC">
      <w:pPr>
        <w:rPr>
          <w:rFonts w:ascii="Aptos" w:hAnsi="Aptos"/>
          <w:b/>
          <w:bCs/>
        </w:rPr>
      </w:pPr>
      <w:r w:rsidRPr="005016CC">
        <w:rPr>
          <w:rFonts w:ascii="Aptos" w:hAnsi="Aptos"/>
          <w:b/>
          <w:bCs/>
        </w:rPr>
        <w:t xml:space="preserve">Based on the evidence provided, the Organization: </w:t>
      </w:r>
    </w:p>
    <w:p w14:paraId="4F7767ED" w14:textId="77777777" w:rsidR="00A036AC" w:rsidRPr="005016CC" w:rsidRDefault="00A036AC" w:rsidP="00A036AC">
      <w:pPr>
        <w:contextualSpacing/>
        <w:rPr>
          <w:rFonts w:ascii="Aptos" w:hAnsi="Aptos"/>
          <w:sz w:val="20"/>
          <w:szCs w:val="20"/>
        </w:rPr>
      </w:pPr>
      <w:r w:rsidRPr="005016CC">
        <w:rPr>
          <w:rFonts w:ascii="Aptos" w:hAnsi="Aptos"/>
          <w:sz w:val="20"/>
          <w:szCs w:val="20"/>
        </w:rPr>
        <w:t>______ fails to meet the criteria</w:t>
      </w:r>
    </w:p>
    <w:p w14:paraId="32DAE0EA" w14:textId="77777777" w:rsidR="00A036AC" w:rsidRPr="005016CC" w:rsidRDefault="00A036AC" w:rsidP="00A036AC">
      <w:pPr>
        <w:contextualSpacing/>
        <w:rPr>
          <w:rFonts w:ascii="Aptos" w:hAnsi="Aptos"/>
          <w:sz w:val="20"/>
          <w:szCs w:val="20"/>
        </w:rPr>
      </w:pPr>
      <w:r w:rsidRPr="005016CC">
        <w:rPr>
          <w:rFonts w:ascii="Aptos" w:hAnsi="Aptos"/>
          <w:sz w:val="20"/>
          <w:szCs w:val="20"/>
        </w:rPr>
        <w:t>______ meets or exceeds the criteria</w:t>
      </w:r>
    </w:p>
    <w:p w14:paraId="11F3477A" w14:textId="77777777" w:rsidR="00A036AC" w:rsidRPr="005016CC" w:rsidRDefault="00A036AC" w:rsidP="00A036AC">
      <w:pPr>
        <w:contextualSpacing/>
        <w:rPr>
          <w:rFonts w:ascii="Aptos" w:hAnsi="Aptos"/>
          <w:sz w:val="20"/>
          <w:szCs w:val="20"/>
        </w:rPr>
      </w:pPr>
      <w:r w:rsidRPr="005016CC">
        <w:rPr>
          <w:rFonts w:ascii="Aptos" w:hAnsi="Aptos"/>
          <w:sz w:val="20"/>
          <w:szCs w:val="20"/>
        </w:rPr>
        <w:t>______ meets criteria on the condition that the Conditions/Recommendations below are addressed.</w:t>
      </w:r>
    </w:p>
    <w:p w14:paraId="3D09DE53" w14:textId="77777777" w:rsidR="00A036AC" w:rsidRPr="005016CC" w:rsidRDefault="00A036AC" w:rsidP="00A036AC">
      <w:pPr>
        <w:contextualSpacing/>
        <w:rPr>
          <w:rFonts w:ascii="Aptos" w:hAnsi="Aptos"/>
          <w:sz w:val="20"/>
          <w:szCs w:val="20"/>
        </w:rPr>
      </w:pPr>
    </w:p>
    <w:p w14:paraId="3EA2E92C" w14:textId="77777777" w:rsidR="00A036AC" w:rsidRPr="0053703C" w:rsidRDefault="00A036AC" w:rsidP="005016CC">
      <w:pPr>
        <w:pStyle w:val="Heading2"/>
      </w:pPr>
      <w:r w:rsidRPr="0053703C">
        <w:t>Rationale for Determination</w:t>
      </w:r>
    </w:p>
    <w:p w14:paraId="0AD820B8" w14:textId="77777777" w:rsidR="00A036AC" w:rsidRPr="005852CF" w:rsidRDefault="00A036AC" w:rsidP="00A036AC">
      <w:pPr>
        <w:rPr>
          <w:rFonts w:ascii="Aptos" w:hAnsi="Aptos"/>
        </w:rPr>
      </w:pPr>
      <w:r w:rsidRPr="006E21E4">
        <w:rPr>
          <w:rFonts w:ascii="Aptos" w:hAnsi="Aptos"/>
        </w:rPr>
        <w:t>The rationale is….</w:t>
      </w:r>
    </w:p>
    <w:p w14:paraId="206BDD41" w14:textId="77777777" w:rsidR="00A036AC" w:rsidRPr="0053703C" w:rsidRDefault="00A036AC" w:rsidP="005016CC">
      <w:pPr>
        <w:pStyle w:val="Heading2"/>
      </w:pPr>
      <w:r w:rsidRPr="0053703C">
        <w:t>Conditions/Recommendations</w:t>
      </w:r>
    </w:p>
    <w:p w14:paraId="6513D91B" w14:textId="77777777" w:rsidR="00A036AC" w:rsidRPr="00C32893" w:rsidRDefault="00A036AC" w:rsidP="00E0086F">
      <w:pPr>
        <w:pStyle w:val="ListParagraph"/>
        <w:numPr>
          <w:ilvl w:val="0"/>
          <w:numId w:val="21"/>
        </w:numPr>
        <w:spacing w:after="160"/>
        <w:rPr>
          <w:rFonts w:ascii="Aptos" w:hAnsi="Aptos"/>
        </w:rPr>
      </w:pPr>
      <w:r w:rsidRPr="00C32893">
        <w:rPr>
          <w:rFonts w:ascii="Aptos" w:hAnsi="Aptos"/>
        </w:rPr>
        <w:t>Condition 1</w:t>
      </w:r>
    </w:p>
    <w:p w14:paraId="457CE07D" w14:textId="77777777" w:rsidR="00A036AC" w:rsidRPr="00442B7D" w:rsidRDefault="00A036AC" w:rsidP="00E0086F">
      <w:pPr>
        <w:pStyle w:val="ListParagraph"/>
        <w:numPr>
          <w:ilvl w:val="0"/>
          <w:numId w:val="21"/>
        </w:numPr>
        <w:textAlignment w:val="baseline"/>
        <w:rPr>
          <w:rFonts w:ascii="Aptos" w:hAnsi="Aptos"/>
          <w:i/>
          <w:iCs/>
          <w:sz w:val="20"/>
          <w:szCs w:val="20"/>
        </w:rPr>
      </w:pPr>
      <w:r w:rsidRPr="00DE5DF3">
        <w:rPr>
          <w:rFonts w:ascii="Aptos" w:hAnsi="Aptos"/>
        </w:rPr>
        <w:t>Condition 2…</w:t>
      </w:r>
    </w:p>
    <w:p w14:paraId="53A186AD" w14:textId="77777777" w:rsidR="00442B7D" w:rsidRDefault="00442B7D" w:rsidP="00442B7D">
      <w:pPr>
        <w:pStyle w:val="ListParagraph"/>
        <w:textAlignment w:val="baseline"/>
        <w:rPr>
          <w:rFonts w:ascii="Aptos" w:hAnsi="Aptos"/>
          <w:i/>
          <w:iCs/>
          <w:szCs w:val="20"/>
        </w:rPr>
      </w:pPr>
    </w:p>
    <w:p w14:paraId="1BEBA66D" w14:textId="77777777" w:rsidR="00442B7D" w:rsidRPr="00DE5DF3" w:rsidRDefault="00442B7D" w:rsidP="00442B7D">
      <w:pPr>
        <w:pStyle w:val="ListParagraph"/>
        <w:textAlignment w:val="baseline"/>
        <w:rPr>
          <w:rFonts w:ascii="Aptos" w:hAnsi="Aptos"/>
          <w:i/>
          <w:iCs/>
          <w:sz w:val="20"/>
          <w:szCs w:val="20"/>
        </w:rPr>
      </w:pPr>
    </w:p>
    <w:tbl>
      <w:tblPr>
        <w:tblStyle w:val="TableGrid"/>
        <w:tblW w:w="5000" w:type="pct"/>
        <w:tblLook w:val="04A0" w:firstRow="1" w:lastRow="0" w:firstColumn="1" w:lastColumn="0" w:noHBand="0" w:noVBand="1"/>
      </w:tblPr>
      <w:tblGrid>
        <w:gridCol w:w="10070"/>
      </w:tblGrid>
      <w:tr w:rsidR="00A036AC" w:rsidRPr="006E21E4" w14:paraId="03508A00" w14:textId="77777777" w:rsidTr="00442B7D">
        <w:tc>
          <w:tcPr>
            <w:tcW w:w="5035" w:type="dxa"/>
            <w:shd w:val="clear" w:color="auto" w:fill="005072"/>
          </w:tcPr>
          <w:p w14:paraId="62BCE2AA" w14:textId="77777777" w:rsidR="00A036AC" w:rsidRPr="00442B7D" w:rsidRDefault="00A036AC" w:rsidP="007D5177">
            <w:pPr>
              <w:jc w:val="center"/>
              <w:rPr>
                <w:rFonts w:ascii="Aptos" w:hAnsi="Aptos"/>
                <w:b/>
                <w:bCs/>
                <w:color w:val="FFFFFF" w:themeColor="background1"/>
              </w:rPr>
            </w:pPr>
            <w:r w:rsidRPr="00442B7D">
              <w:rPr>
                <w:rFonts w:ascii="Aptos" w:hAnsi="Aptos"/>
                <w:b/>
                <w:bCs/>
                <w:color w:val="FFFFFF" w:themeColor="background1"/>
              </w:rPr>
              <w:lastRenderedPageBreak/>
              <w:t>Standard 5: Criteria for Assessment and SVT Comments</w:t>
            </w:r>
          </w:p>
        </w:tc>
      </w:tr>
      <w:tr w:rsidR="00A036AC" w:rsidRPr="006E21E4" w14:paraId="554A5391" w14:textId="77777777" w:rsidTr="005016CC">
        <w:tc>
          <w:tcPr>
            <w:tcW w:w="5035" w:type="dxa"/>
          </w:tcPr>
          <w:p w14:paraId="43CAC73D" w14:textId="77777777" w:rsidR="00A036AC" w:rsidRPr="004F3191" w:rsidRDefault="00A036AC" w:rsidP="00E0086F">
            <w:pPr>
              <w:pStyle w:val="ListParagraph"/>
              <w:numPr>
                <w:ilvl w:val="0"/>
                <w:numId w:val="5"/>
              </w:numPr>
              <w:rPr>
                <w:rFonts w:ascii="Aptos" w:hAnsi="Aptos"/>
                <w:b/>
                <w:bCs/>
                <w:sz w:val="20"/>
              </w:rPr>
            </w:pPr>
            <w:r w:rsidRPr="004F3191">
              <w:rPr>
                <w:rFonts w:ascii="Aptos" w:hAnsi="Aptos"/>
                <w:sz w:val="20"/>
              </w:rPr>
              <w:t>Evidence exists that the policies and procedures governing quality assurance contribute to the ongoing quality of programs with a focus on achievement of outcomes, teaching effectiveness, and student experience.</w:t>
            </w:r>
          </w:p>
        </w:tc>
      </w:tr>
      <w:tr w:rsidR="00A036AC" w:rsidRPr="006E21E4" w14:paraId="4421D1A0" w14:textId="77777777" w:rsidTr="005016CC">
        <w:tc>
          <w:tcPr>
            <w:tcW w:w="5035" w:type="dxa"/>
            <w:shd w:val="clear" w:color="auto" w:fill="EAF6FC"/>
          </w:tcPr>
          <w:p w14:paraId="1F74BB71" w14:textId="77777777" w:rsidR="00A036AC" w:rsidRDefault="00A036AC" w:rsidP="007D5177">
            <w:pPr>
              <w:rPr>
                <w:rFonts w:ascii="Aptos" w:hAnsi="Aptos"/>
                <w:b/>
                <w:bCs/>
                <w:sz w:val="20"/>
              </w:rPr>
            </w:pPr>
            <w:r>
              <w:rPr>
                <w:rFonts w:ascii="Aptos" w:hAnsi="Aptos"/>
                <w:sz w:val="20"/>
              </w:rPr>
              <w:t>Site Visit Team Comments</w:t>
            </w:r>
          </w:p>
          <w:p w14:paraId="5C47A8C1" w14:textId="77777777" w:rsidR="00A036AC" w:rsidRPr="00845058" w:rsidRDefault="00A036AC" w:rsidP="007D5177">
            <w:pPr>
              <w:rPr>
                <w:rFonts w:ascii="Aptos" w:hAnsi="Aptos"/>
                <w:b/>
                <w:bCs/>
                <w:sz w:val="20"/>
              </w:rPr>
            </w:pPr>
          </w:p>
        </w:tc>
      </w:tr>
      <w:tr w:rsidR="00A036AC" w:rsidRPr="006E21E4" w14:paraId="51F2AA18" w14:textId="77777777" w:rsidTr="005016CC">
        <w:tc>
          <w:tcPr>
            <w:tcW w:w="5035" w:type="dxa"/>
          </w:tcPr>
          <w:p w14:paraId="6073B4F9" w14:textId="77777777" w:rsidR="00A036AC" w:rsidRPr="004F3191" w:rsidRDefault="00A036AC" w:rsidP="00E0086F">
            <w:pPr>
              <w:pStyle w:val="ListParagraph"/>
              <w:numPr>
                <w:ilvl w:val="0"/>
                <w:numId w:val="5"/>
              </w:numPr>
              <w:rPr>
                <w:rFonts w:ascii="Aptos" w:hAnsi="Aptos" w:cs="Arial"/>
                <w:b/>
                <w:bCs/>
                <w:iCs/>
                <w:sz w:val="20"/>
              </w:rPr>
            </w:pPr>
            <w:r w:rsidRPr="004F3191">
              <w:rPr>
                <w:rFonts w:ascii="Aptos" w:hAnsi="Aptos" w:cs="Arial"/>
                <w:iCs/>
                <w:sz w:val="20"/>
              </w:rPr>
              <w:t xml:space="preserve">Quality assurance processes, including any resulting decisions and/or action plans, are transparent, performed on a schedule appropriate to high-quality program delivery, and include input from all relevant internal stakeholders (especially students, faculty, and staff) and, where appropriate, external experts and approval bodies.  </w:t>
            </w:r>
          </w:p>
        </w:tc>
      </w:tr>
      <w:tr w:rsidR="00A036AC" w:rsidRPr="006E21E4" w14:paraId="0F519E50" w14:textId="77777777" w:rsidTr="005016CC">
        <w:tc>
          <w:tcPr>
            <w:tcW w:w="5035" w:type="dxa"/>
            <w:shd w:val="clear" w:color="auto" w:fill="EAF6FC"/>
          </w:tcPr>
          <w:p w14:paraId="65743B4D" w14:textId="77777777" w:rsidR="00A036AC" w:rsidRDefault="00A036AC" w:rsidP="007D5177">
            <w:pPr>
              <w:rPr>
                <w:rFonts w:ascii="Aptos" w:hAnsi="Aptos"/>
                <w:b/>
                <w:bCs/>
                <w:sz w:val="20"/>
              </w:rPr>
            </w:pPr>
            <w:r>
              <w:rPr>
                <w:rFonts w:ascii="Aptos" w:hAnsi="Aptos"/>
                <w:sz w:val="20"/>
              </w:rPr>
              <w:t>Site Visit Team Comments</w:t>
            </w:r>
          </w:p>
          <w:p w14:paraId="3713D7FC" w14:textId="77777777" w:rsidR="00A036AC" w:rsidRPr="00845058" w:rsidRDefault="00A036AC" w:rsidP="007D5177">
            <w:pPr>
              <w:rPr>
                <w:rFonts w:ascii="Aptos" w:hAnsi="Aptos" w:cs="Arial"/>
                <w:iCs/>
                <w:sz w:val="20"/>
              </w:rPr>
            </w:pPr>
          </w:p>
        </w:tc>
      </w:tr>
      <w:tr w:rsidR="00A036AC" w:rsidRPr="006E21E4" w14:paraId="1CAF26F9" w14:textId="77777777" w:rsidTr="005016CC">
        <w:tc>
          <w:tcPr>
            <w:tcW w:w="5035" w:type="dxa"/>
          </w:tcPr>
          <w:p w14:paraId="49332CA4" w14:textId="77777777" w:rsidR="00A036AC" w:rsidRPr="00845058" w:rsidRDefault="00A036AC" w:rsidP="00E0086F">
            <w:pPr>
              <w:pStyle w:val="ListParagraph"/>
              <w:numPr>
                <w:ilvl w:val="0"/>
                <w:numId w:val="5"/>
              </w:numPr>
              <w:rPr>
                <w:rFonts w:ascii="Aptos" w:hAnsi="Aptos" w:cs="Cambria"/>
                <w:b/>
                <w:bCs/>
                <w:sz w:val="20"/>
              </w:rPr>
            </w:pPr>
            <w:r w:rsidRPr="00845058">
              <w:rPr>
                <w:rFonts w:ascii="Aptos" w:hAnsi="Aptos" w:cs="Cambria"/>
                <w:sz w:val="20"/>
              </w:rPr>
              <w:t xml:space="preserve">The results of quality assurance processes are communicated to faculty, staff, and students. </w:t>
            </w:r>
          </w:p>
          <w:p w14:paraId="4B4477A7" w14:textId="77777777" w:rsidR="00A036AC" w:rsidRPr="00845058" w:rsidRDefault="00A036AC" w:rsidP="007D5177">
            <w:pPr>
              <w:autoSpaceDE w:val="0"/>
              <w:autoSpaceDN w:val="0"/>
              <w:adjustRightInd w:val="0"/>
              <w:rPr>
                <w:rFonts w:ascii="Aptos" w:hAnsi="Aptos" w:cs="Cambria"/>
                <w:sz w:val="20"/>
              </w:rPr>
            </w:pPr>
          </w:p>
        </w:tc>
      </w:tr>
      <w:tr w:rsidR="00A036AC" w:rsidRPr="006E21E4" w14:paraId="6FD84429" w14:textId="77777777" w:rsidTr="005016CC">
        <w:tc>
          <w:tcPr>
            <w:tcW w:w="5035" w:type="dxa"/>
            <w:shd w:val="clear" w:color="auto" w:fill="EAF6FC"/>
          </w:tcPr>
          <w:p w14:paraId="0676E81E" w14:textId="77777777" w:rsidR="00A036AC" w:rsidRDefault="00A036AC" w:rsidP="007D5177">
            <w:pPr>
              <w:rPr>
                <w:rFonts w:ascii="Aptos" w:hAnsi="Aptos"/>
                <w:b/>
                <w:bCs/>
                <w:sz w:val="20"/>
              </w:rPr>
            </w:pPr>
            <w:r>
              <w:rPr>
                <w:rFonts w:ascii="Aptos" w:hAnsi="Aptos"/>
                <w:sz w:val="20"/>
              </w:rPr>
              <w:t>Site Visit Team Comments</w:t>
            </w:r>
          </w:p>
          <w:p w14:paraId="1AB36938" w14:textId="77777777" w:rsidR="00A036AC" w:rsidRPr="00845058" w:rsidRDefault="00A036AC" w:rsidP="007D5177">
            <w:pPr>
              <w:rPr>
                <w:rFonts w:ascii="Aptos" w:hAnsi="Aptos" w:cs="Cambria"/>
                <w:sz w:val="20"/>
              </w:rPr>
            </w:pPr>
          </w:p>
        </w:tc>
      </w:tr>
      <w:tr w:rsidR="00A036AC" w:rsidRPr="006E21E4" w14:paraId="31372F93" w14:textId="77777777" w:rsidTr="005016CC">
        <w:tc>
          <w:tcPr>
            <w:tcW w:w="5035" w:type="dxa"/>
          </w:tcPr>
          <w:p w14:paraId="56BBC949" w14:textId="77777777" w:rsidR="00A036AC" w:rsidRPr="00845058" w:rsidRDefault="00A036AC" w:rsidP="00E0086F">
            <w:pPr>
              <w:pStyle w:val="ListParagraph"/>
              <w:numPr>
                <w:ilvl w:val="0"/>
                <w:numId w:val="5"/>
              </w:numPr>
              <w:rPr>
                <w:rFonts w:ascii="Aptos" w:hAnsi="Aptos" w:cs="Cambria"/>
                <w:b/>
                <w:bCs/>
                <w:sz w:val="20"/>
              </w:rPr>
            </w:pPr>
            <w:r w:rsidRPr="00845058">
              <w:rPr>
                <w:rFonts w:ascii="Aptos" w:hAnsi="Aptos" w:cs="Cambria"/>
                <w:sz w:val="20"/>
              </w:rPr>
              <w:t xml:space="preserve">The organization has appropriate policies, procedures, governance models, or engagement/ feedback strategies in place to engage students as active partners in quality assurance processes. </w:t>
            </w:r>
          </w:p>
          <w:p w14:paraId="7D25E10A" w14:textId="77777777" w:rsidR="00A036AC" w:rsidRPr="00845058" w:rsidRDefault="00A036AC" w:rsidP="007D5177">
            <w:pPr>
              <w:rPr>
                <w:rFonts w:ascii="Aptos" w:hAnsi="Aptos" w:cs="Cambria"/>
                <w:sz w:val="20"/>
              </w:rPr>
            </w:pPr>
          </w:p>
        </w:tc>
      </w:tr>
      <w:tr w:rsidR="00A036AC" w:rsidRPr="006E21E4" w14:paraId="34F3FBAC" w14:textId="77777777" w:rsidTr="005016CC">
        <w:tc>
          <w:tcPr>
            <w:tcW w:w="5035" w:type="dxa"/>
            <w:shd w:val="clear" w:color="auto" w:fill="EAF6FC"/>
          </w:tcPr>
          <w:p w14:paraId="2D28E675" w14:textId="77777777" w:rsidR="00A036AC" w:rsidRDefault="00A036AC" w:rsidP="007D5177">
            <w:pPr>
              <w:rPr>
                <w:rFonts w:ascii="Aptos" w:hAnsi="Aptos"/>
                <w:b/>
                <w:bCs/>
                <w:sz w:val="20"/>
              </w:rPr>
            </w:pPr>
            <w:r>
              <w:rPr>
                <w:rFonts w:ascii="Aptos" w:hAnsi="Aptos"/>
                <w:sz w:val="20"/>
              </w:rPr>
              <w:t>Site Visit Team Comments</w:t>
            </w:r>
          </w:p>
          <w:p w14:paraId="151DD7FF" w14:textId="77777777" w:rsidR="00A036AC" w:rsidRPr="00845058" w:rsidRDefault="00A036AC" w:rsidP="007D5177">
            <w:pPr>
              <w:rPr>
                <w:rFonts w:ascii="Aptos" w:hAnsi="Aptos" w:cs="Cambria"/>
                <w:sz w:val="20"/>
              </w:rPr>
            </w:pPr>
          </w:p>
        </w:tc>
      </w:tr>
      <w:tr w:rsidR="00A036AC" w:rsidRPr="006E21E4" w14:paraId="2C2DDB6C" w14:textId="77777777" w:rsidTr="005016CC">
        <w:tc>
          <w:tcPr>
            <w:tcW w:w="5035" w:type="dxa"/>
          </w:tcPr>
          <w:p w14:paraId="0F0ACB81" w14:textId="77777777" w:rsidR="00A036AC" w:rsidRPr="00845058" w:rsidRDefault="00A036AC" w:rsidP="00E0086F">
            <w:pPr>
              <w:pStyle w:val="ListParagraph"/>
              <w:numPr>
                <w:ilvl w:val="0"/>
                <w:numId w:val="5"/>
              </w:numPr>
              <w:rPr>
                <w:rFonts w:ascii="Aptos" w:hAnsi="Aptos" w:cs="Cambria"/>
                <w:b/>
                <w:bCs/>
                <w:sz w:val="20"/>
              </w:rPr>
            </w:pPr>
            <w:r w:rsidRPr="00845058">
              <w:rPr>
                <w:rFonts w:ascii="Aptos" w:hAnsi="Aptos" w:cs="Cambria"/>
                <w:sz w:val="20"/>
              </w:rPr>
              <w:t xml:space="preserve">Staff, Students, and Faculty are aware of the types of quality assurance data gathered, how it is stored, and how it may be used. (Adapted from UK QAA). </w:t>
            </w:r>
          </w:p>
        </w:tc>
      </w:tr>
      <w:tr w:rsidR="00A036AC" w:rsidRPr="006E21E4" w14:paraId="4B670EB7" w14:textId="77777777" w:rsidTr="005016CC">
        <w:tc>
          <w:tcPr>
            <w:tcW w:w="5035" w:type="dxa"/>
            <w:shd w:val="clear" w:color="auto" w:fill="EAF6FC"/>
          </w:tcPr>
          <w:p w14:paraId="7647839D" w14:textId="77777777" w:rsidR="00A036AC" w:rsidRDefault="00A036AC" w:rsidP="007D5177">
            <w:pPr>
              <w:rPr>
                <w:rFonts w:ascii="Aptos" w:hAnsi="Aptos"/>
                <w:b/>
                <w:bCs/>
                <w:sz w:val="20"/>
              </w:rPr>
            </w:pPr>
            <w:r>
              <w:rPr>
                <w:rFonts w:ascii="Aptos" w:hAnsi="Aptos"/>
                <w:sz w:val="20"/>
              </w:rPr>
              <w:t>Site Visit Team Comments</w:t>
            </w:r>
          </w:p>
          <w:p w14:paraId="309125E2" w14:textId="77777777" w:rsidR="00A036AC" w:rsidRPr="00845058" w:rsidRDefault="00A036AC" w:rsidP="007D5177">
            <w:pPr>
              <w:rPr>
                <w:rFonts w:ascii="Aptos" w:hAnsi="Aptos" w:cs="Cambria"/>
                <w:sz w:val="20"/>
              </w:rPr>
            </w:pPr>
          </w:p>
        </w:tc>
      </w:tr>
    </w:tbl>
    <w:p w14:paraId="4BAC647C" w14:textId="77777777" w:rsidR="00A036AC" w:rsidRPr="006E21E4" w:rsidRDefault="00A036AC" w:rsidP="00A036AC">
      <w:pPr>
        <w:rPr>
          <w:rFonts w:ascii="Aptos" w:hAnsi="Aptos"/>
        </w:rPr>
      </w:pPr>
    </w:p>
    <w:p w14:paraId="2F97D95E" w14:textId="77777777" w:rsidR="00A036AC" w:rsidRPr="006E0ED7" w:rsidRDefault="00A036AC" w:rsidP="00A036AC">
      <w:pPr>
        <w:pStyle w:val="Heading1"/>
        <w:rPr>
          <w:i/>
          <w:iCs/>
          <w:sz w:val="20"/>
          <w:szCs w:val="20"/>
        </w:rPr>
      </w:pPr>
      <w:r w:rsidRPr="006E21E4">
        <w:t>Standard 6: Equity, Diversity, Indigeneity, Ethical Practice, Inclusion, and Accessibility</w:t>
      </w:r>
    </w:p>
    <w:tbl>
      <w:tblPr>
        <w:tblStyle w:val="TableGrid"/>
        <w:tblW w:w="5000" w:type="pct"/>
        <w:jc w:val="center"/>
        <w:tblLook w:val="04A0" w:firstRow="1" w:lastRow="0" w:firstColumn="1" w:lastColumn="0" w:noHBand="0" w:noVBand="1"/>
      </w:tblPr>
      <w:tblGrid>
        <w:gridCol w:w="10070"/>
      </w:tblGrid>
      <w:tr w:rsidR="00487FDF" w:rsidRPr="00487FDF" w14:paraId="4FBF3F4D" w14:textId="77777777" w:rsidTr="00442B7D">
        <w:trPr>
          <w:jc w:val="center"/>
        </w:trPr>
        <w:tc>
          <w:tcPr>
            <w:tcW w:w="10070" w:type="dxa"/>
            <w:shd w:val="clear" w:color="auto" w:fill="005072"/>
          </w:tcPr>
          <w:p w14:paraId="6F7AA956" w14:textId="2130C287" w:rsidR="00A036AC" w:rsidRPr="00442B7D" w:rsidRDefault="00487FDF" w:rsidP="00487FDF">
            <w:pPr>
              <w:rPr>
                <w:rStyle w:val="cf01"/>
                <w:rFonts w:ascii="Aptos" w:eastAsiaTheme="majorEastAsia" w:hAnsi="Aptos"/>
                <w:color w:val="FFFFFF" w:themeColor="background1"/>
                <w:sz w:val="22"/>
                <w:szCs w:val="22"/>
              </w:rPr>
            </w:pPr>
            <w:r w:rsidRPr="00442B7D">
              <w:rPr>
                <w:rStyle w:val="cf01"/>
                <w:rFonts w:ascii="Aptos" w:eastAsiaTheme="majorEastAsia" w:hAnsi="Aptos"/>
                <w:color w:val="FFFFFF" w:themeColor="background1"/>
                <w:sz w:val="22"/>
                <w:szCs w:val="22"/>
              </w:rPr>
              <w:t xml:space="preserve">6) </w:t>
            </w:r>
            <w:r w:rsidR="00A036AC" w:rsidRPr="00442B7D">
              <w:rPr>
                <w:rStyle w:val="cf01"/>
                <w:rFonts w:ascii="Aptos" w:eastAsiaTheme="majorEastAsia" w:hAnsi="Aptos"/>
                <w:color w:val="FFFFFF" w:themeColor="background1"/>
                <w:sz w:val="22"/>
                <w:szCs w:val="22"/>
              </w:rPr>
              <w:t>Systemic commitments to equity, diversity, Indigeneity, ethical practice, inclusion, and accessibility.</w:t>
            </w:r>
          </w:p>
        </w:tc>
      </w:tr>
      <w:tr w:rsidR="00487FDF" w:rsidRPr="00487FDF" w14:paraId="65030197" w14:textId="77777777" w:rsidTr="00487FDF">
        <w:trPr>
          <w:jc w:val="center"/>
        </w:trPr>
        <w:tc>
          <w:tcPr>
            <w:tcW w:w="10070" w:type="dxa"/>
            <w:shd w:val="clear" w:color="auto" w:fill="EAF6FC"/>
          </w:tcPr>
          <w:p w14:paraId="76EC5EF0" w14:textId="77777777" w:rsidR="00A036AC" w:rsidRPr="00487FDF" w:rsidRDefault="00A036AC" w:rsidP="007D5177">
            <w:pPr>
              <w:contextualSpacing/>
              <w:jc w:val="center"/>
              <w:rPr>
                <w:rFonts w:ascii="Aptos" w:hAnsi="Aptos"/>
                <w:szCs w:val="22"/>
              </w:rPr>
            </w:pPr>
            <w:r w:rsidRPr="00487FDF">
              <w:rPr>
                <w:rFonts w:ascii="Aptos" w:hAnsi="Aptos" w:cstheme="minorHAnsi"/>
                <w:b/>
                <w:bCs/>
                <w:szCs w:val="22"/>
              </w:rPr>
              <w:t>AREAS OF FOCUS</w:t>
            </w:r>
          </w:p>
        </w:tc>
      </w:tr>
      <w:tr w:rsidR="00487FDF" w:rsidRPr="00487FDF" w14:paraId="0389FEF5" w14:textId="77777777" w:rsidTr="007D5177">
        <w:trPr>
          <w:jc w:val="center"/>
        </w:trPr>
        <w:tc>
          <w:tcPr>
            <w:tcW w:w="10070" w:type="dxa"/>
          </w:tcPr>
          <w:p w14:paraId="3F60E6FB" w14:textId="77777777" w:rsidR="00A036AC" w:rsidRPr="00487FDF" w:rsidRDefault="00A036AC" w:rsidP="007D5177">
            <w:pPr>
              <w:rPr>
                <w:rFonts w:ascii="Aptos" w:hAnsi="Aptos" w:cs="Calibri"/>
                <w:szCs w:val="22"/>
              </w:rPr>
            </w:pPr>
            <w:r w:rsidRPr="00487FDF">
              <w:rPr>
                <w:rFonts w:ascii="Aptos" w:hAnsi="Aptos" w:cs="Calibri"/>
                <w:sz w:val="20"/>
              </w:rPr>
              <w:t>Policy-based and funded commitments to each of the identified areas, including clear regulations relating to disputes, conflicts, appeals, due process, and protections for students, faculty, and all staff.</w:t>
            </w:r>
          </w:p>
        </w:tc>
      </w:tr>
    </w:tbl>
    <w:p w14:paraId="6006B353" w14:textId="77777777" w:rsidR="00A036AC" w:rsidRDefault="00A036AC" w:rsidP="00A036AC">
      <w:pPr>
        <w:contextualSpacing/>
        <w:rPr>
          <w:rFonts w:ascii="Aptos" w:hAnsi="Aptos"/>
          <w:b/>
          <w:bCs/>
          <w:i/>
          <w:iCs/>
          <w:sz w:val="20"/>
          <w:szCs w:val="20"/>
        </w:rPr>
      </w:pPr>
    </w:p>
    <w:p w14:paraId="7C1A6B70" w14:textId="77777777" w:rsidR="00A036AC" w:rsidRDefault="00A036AC" w:rsidP="00A036AC">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1C98A44C" w14:textId="77777777" w:rsidR="00A036AC" w:rsidRPr="00C84191" w:rsidRDefault="00A036AC" w:rsidP="00E0086F">
      <w:pPr>
        <w:pStyle w:val="ListParagraph"/>
        <w:numPr>
          <w:ilvl w:val="0"/>
          <w:numId w:val="11"/>
        </w:numPr>
        <w:spacing w:after="160"/>
        <w:rPr>
          <w:rFonts w:ascii="Aptos" w:hAnsi="Aptos"/>
          <w:sz w:val="20"/>
          <w:szCs w:val="20"/>
        </w:rPr>
      </w:pPr>
      <w:r w:rsidRPr="00C84191">
        <w:rPr>
          <w:rFonts w:ascii="Aptos" w:hAnsi="Aptos"/>
          <w:sz w:val="20"/>
          <w:szCs w:val="20"/>
        </w:rPr>
        <w:t xml:space="preserve">Related institutional policies and evidence of policy implementation (such as training and development/education opportunities for faculty, staff and students) </w:t>
      </w:r>
    </w:p>
    <w:p w14:paraId="26E3ADC9" w14:textId="77777777" w:rsidR="00A036AC" w:rsidRPr="00C84191" w:rsidRDefault="00A036AC" w:rsidP="00E0086F">
      <w:pPr>
        <w:pStyle w:val="ListParagraph"/>
        <w:numPr>
          <w:ilvl w:val="0"/>
          <w:numId w:val="11"/>
        </w:numPr>
        <w:spacing w:after="160"/>
        <w:rPr>
          <w:rFonts w:ascii="Aptos" w:hAnsi="Aptos"/>
          <w:sz w:val="20"/>
          <w:szCs w:val="20"/>
        </w:rPr>
      </w:pPr>
      <w:r w:rsidRPr="00C84191">
        <w:rPr>
          <w:rFonts w:ascii="Aptos" w:hAnsi="Aptos"/>
          <w:sz w:val="20"/>
          <w:szCs w:val="20"/>
        </w:rPr>
        <w:t xml:space="preserve">Grievance/Dispute Resolution Policies  </w:t>
      </w:r>
    </w:p>
    <w:p w14:paraId="078EB803" w14:textId="77777777" w:rsidR="00A036AC" w:rsidRPr="00C84191" w:rsidRDefault="00A036AC" w:rsidP="00E0086F">
      <w:pPr>
        <w:pStyle w:val="ListParagraph"/>
        <w:numPr>
          <w:ilvl w:val="0"/>
          <w:numId w:val="11"/>
        </w:numPr>
        <w:spacing w:after="160"/>
        <w:rPr>
          <w:rFonts w:ascii="Aptos" w:hAnsi="Aptos"/>
          <w:sz w:val="20"/>
          <w:szCs w:val="20"/>
        </w:rPr>
      </w:pPr>
      <w:r w:rsidRPr="00C84191">
        <w:rPr>
          <w:rFonts w:ascii="Aptos" w:hAnsi="Aptos"/>
          <w:sz w:val="20"/>
          <w:szCs w:val="20"/>
        </w:rPr>
        <w:t xml:space="preserve">Student Conduct/Rights &amp; Responsibilities Policies or equivalent  </w:t>
      </w:r>
    </w:p>
    <w:p w14:paraId="09360337" w14:textId="77777777" w:rsidR="00A036AC" w:rsidRPr="00C84191" w:rsidRDefault="00A036AC" w:rsidP="00E0086F">
      <w:pPr>
        <w:pStyle w:val="ListParagraph"/>
        <w:numPr>
          <w:ilvl w:val="0"/>
          <w:numId w:val="11"/>
        </w:numPr>
        <w:spacing w:after="160"/>
        <w:rPr>
          <w:rFonts w:ascii="Aptos" w:hAnsi="Aptos"/>
          <w:sz w:val="20"/>
          <w:szCs w:val="20"/>
        </w:rPr>
      </w:pPr>
      <w:r w:rsidRPr="00C84191">
        <w:rPr>
          <w:rFonts w:ascii="Aptos" w:hAnsi="Aptos"/>
          <w:sz w:val="20"/>
          <w:szCs w:val="20"/>
        </w:rPr>
        <w:t xml:space="preserve">Indigenization/Indigenous Education Plan (or equivalent); International Education Plan (or equivalent), Student Accessibility/Inclusion Plans or Policies or equivalent  </w:t>
      </w:r>
    </w:p>
    <w:p w14:paraId="78260A54" w14:textId="77777777" w:rsidR="00A036AC" w:rsidRPr="00C84191" w:rsidRDefault="00A036AC" w:rsidP="00A036AC">
      <w:pPr>
        <w:rPr>
          <w:rFonts w:ascii="Aptos" w:hAnsi="Aptos"/>
          <w:b/>
          <w:bCs/>
        </w:rPr>
      </w:pPr>
      <w:r w:rsidRPr="00C84191">
        <w:rPr>
          <w:rFonts w:ascii="Aptos" w:hAnsi="Aptos"/>
          <w:b/>
          <w:bCs/>
        </w:rPr>
        <w:t xml:space="preserve">Based on the evidence provided, the Organization: </w:t>
      </w:r>
    </w:p>
    <w:p w14:paraId="66671EF1" w14:textId="77777777" w:rsidR="00A036AC" w:rsidRPr="006E21E4" w:rsidRDefault="00A036AC" w:rsidP="00A036AC">
      <w:pPr>
        <w:contextualSpacing/>
        <w:rPr>
          <w:rFonts w:ascii="Aptos" w:hAnsi="Aptos"/>
          <w:sz w:val="20"/>
          <w:szCs w:val="20"/>
        </w:rPr>
      </w:pPr>
      <w:r w:rsidRPr="006E21E4">
        <w:rPr>
          <w:rFonts w:ascii="Aptos" w:hAnsi="Aptos"/>
          <w:sz w:val="20"/>
          <w:szCs w:val="20"/>
        </w:rPr>
        <w:t>______ fails to meet the criteria</w:t>
      </w:r>
    </w:p>
    <w:p w14:paraId="1D1AE915" w14:textId="77777777" w:rsidR="00A036AC" w:rsidRPr="006E21E4" w:rsidRDefault="00A036AC" w:rsidP="00A036AC">
      <w:pPr>
        <w:contextualSpacing/>
        <w:rPr>
          <w:rFonts w:ascii="Aptos" w:hAnsi="Aptos"/>
          <w:sz w:val="20"/>
          <w:szCs w:val="20"/>
        </w:rPr>
      </w:pPr>
      <w:r w:rsidRPr="006E21E4">
        <w:rPr>
          <w:rFonts w:ascii="Aptos" w:hAnsi="Aptos"/>
          <w:sz w:val="20"/>
          <w:szCs w:val="20"/>
        </w:rPr>
        <w:t>______ meets or exceeds the criteria</w:t>
      </w:r>
    </w:p>
    <w:p w14:paraId="2C6C82D4" w14:textId="77777777" w:rsidR="00A036AC" w:rsidRPr="006E21E4" w:rsidRDefault="00A036AC" w:rsidP="00A036AC">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59E3BB55" w14:textId="77777777" w:rsidR="00A036AC" w:rsidRPr="006E21E4" w:rsidRDefault="00A036AC" w:rsidP="00A036AC">
      <w:pPr>
        <w:contextualSpacing/>
        <w:rPr>
          <w:rFonts w:ascii="Aptos" w:hAnsi="Aptos"/>
          <w:sz w:val="20"/>
          <w:szCs w:val="20"/>
        </w:rPr>
      </w:pPr>
    </w:p>
    <w:p w14:paraId="10968E30" w14:textId="77777777" w:rsidR="00A036AC" w:rsidRPr="0053703C" w:rsidRDefault="00A036AC" w:rsidP="00487FDF">
      <w:pPr>
        <w:pStyle w:val="Heading2"/>
      </w:pPr>
      <w:r w:rsidRPr="0053703C">
        <w:t>Rationale for Determination</w:t>
      </w:r>
    </w:p>
    <w:p w14:paraId="7AD986E6" w14:textId="77777777" w:rsidR="00A036AC" w:rsidRPr="005852CF" w:rsidRDefault="00A036AC" w:rsidP="00A036AC">
      <w:pPr>
        <w:rPr>
          <w:rFonts w:ascii="Aptos" w:hAnsi="Aptos"/>
        </w:rPr>
      </w:pPr>
      <w:r w:rsidRPr="006E21E4">
        <w:rPr>
          <w:rFonts w:ascii="Aptos" w:hAnsi="Aptos"/>
        </w:rPr>
        <w:lastRenderedPageBreak/>
        <w:t>The rationale is….</w:t>
      </w:r>
    </w:p>
    <w:p w14:paraId="06191FFE" w14:textId="77777777" w:rsidR="00A036AC" w:rsidRPr="0053703C" w:rsidRDefault="00A036AC" w:rsidP="00487FDF">
      <w:pPr>
        <w:pStyle w:val="Heading2"/>
      </w:pPr>
      <w:r w:rsidRPr="00487FDF">
        <w:t>Conditions</w:t>
      </w:r>
      <w:r w:rsidRPr="0053703C">
        <w:t>/Recommendations</w:t>
      </w:r>
    </w:p>
    <w:p w14:paraId="0CECFF43" w14:textId="77777777" w:rsidR="00A036AC" w:rsidRPr="00C32893" w:rsidRDefault="00A036AC" w:rsidP="00E0086F">
      <w:pPr>
        <w:pStyle w:val="ListParagraph"/>
        <w:numPr>
          <w:ilvl w:val="0"/>
          <w:numId w:val="22"/>
        </w:numPr>
        <w:spacing w:after="160"/>
        <w:rPr>
          <w:rFonts w:ascii="Aptos" w:hAnsi="Aptos"/>
        </w:rPr>
      </w:pPr>
      <w:r w:rsidRPr="00C32893">
        <w:rPr>
          <w:rFonts w:ascii="Aptos" w:hAnsi="Aptos"/>
        </w:rPr>
        <w:t>Condition 1</w:t>
      </w:r>
    </w:p>
    <w:p w14:paraId="7B09525A" w14:textId="77777777" w:rsidR="00A036AC" w:rsidRPr="00DE5DF3" w:rsidRDefault="00A036AC" w:rsidP="00E0086F">
      <w:pPr>
        <w:pStyle w:val="ListParagraph"/>
        <w:numPr>
          <w:ilvl w:val="0"/>
          <w:numId w:val="22"/>
        </w:numPr>
        <w:spacing w:after="160"/>
        <w:rPr>
          <w:rFonts w:ascii="Aptos" w:hAnsi="Aptos"/>
        </w:rPr>
      </w:pPr>
      <w:r w:rsidRPr="00C32893">
        <w:rPr>
          <w:rFonts w:ascii="Aptos" w:hAnsi="Aptos"/>
        </w:rPr>
        <w:t>Condition 2…</w:t>
      </w:r>
    </w:p>
    <w:tbl>
      <w:tblPr>
        <w:tblStyle w:val="TableGrid"/>
        <w:tblW w:w="5000" w:type="pct"/>
        <w:tblLook w:val="04A0" w:firstRow="1" w:lastRow="0" w:firstColumn="1" w:lastColumn="0" w:noHBand="0" w:noVBand="1"/>
      </w:tblPr>
      <w:tblGrid>
        <w:gridCol w:w="10070"/>
      </w:tblGrid>
      <w:tr w:rsidR="00A036AC" w:rsidRPr="006E21E4" w14:paraId="0A850927" w14:textId="77777777" w:rsidTr="00442B7D">
        <w:tc>
          <w:tcPr>
            <w:tcW w:w="5035" w:type="dxa"/>
            <w:shd w:val="clear" w:color="auto" w:fill="005072"/>
          </w:tcPr>
          <w:p w14:paraId="2FA93C8F" w14:textId="77777777" w:rsidR="00A036AC" w:rsidRPr="00442B7D" w:rsidRDefault="00A036AC" w:rsidP="007D5177">
            <w:pPr>
              <w:jc w:val="center"/>
              <w:rPr>
                <w:rFonts w:ascii="Aptos" w:hAnsi="Aptos"/>
                <w:b/>
                <w:bCs/>
                <w:color w:val="FFFFFF" w:themeColor="background1"/>
              </w:rPr>
            </w:pPr>
            <w:r w:rsidRPr="00442B7D">
              <w:rPr>
                <w:rFonts w:ascii="Aptos" w:hAnsi="Aptos"/>
                <w:b/>
                <w:bCs/>
                <w:color w:val="FFFFFF" w:themeColor="background1"/>
              </w:rPr>
              <w:t>Standard 6: Criteria for Assessment and SVT Comments</w:t>
            </w:r>
          </w:p>
        </w:tc>
      </w:tr>
      <w:tr w:rsidR="00A036AC" w:rsidRPr="006E21E4" w14:paraId="62947C00" w14:textId="77777777" w:rsidTr="00A87002">
        <w:tc>
          <w:tcPr>
            <w:tcW w:w="5035" w:type="dxa"/>
          </w:tcPr>
          <w:p w14:paraId="2CBCD06C" w14:textId="77777777" w:rsidR="00A036AC" w:rsidRPr="00D22510" w:rsidRDefault="00A036AC" w:rsidP="00E0086F">
            <w:pPr>
              <w:pStyle w:val="ListParagraph"/>
              <w:numPr>
                <w:ilvl w:val="0"/>
                <w:numId w:val="17"/>
              </w:numPr>
              <w:rPr>
                <w:rFonts w:ascii="Aptos" w:hAnsi="Aptos"/>
                <w:b/>
                <w:bCs/>
                <w:sz w:val="20"/>
              </w:rPr>
            </w:pPr>
            <w:r w:rsidRPr="00D22510">
              <w:rPr>
                <w:rFonts w:ascii="Aptos" w:hAnsi="Aptos"/>
                <w:sz w:val="20"/>
              </w:rPr>
              <w:t xml:space="preserve">The organization has effective policies and procedures for dealing with disputes between the organization and its students, between the organization and its faculty, and between faculty and students. Complaints, grievances, and/or disputes are appropriately dealt with. There is evidence that the principles of natural justice apply. </w:t>
            </w:r>
          </w:p>
        </w:tc>
      </w:tr>
      <w:tr w:rsidR="00A036AC" w:rsidRPr="006E21E4" w14:paraId="69AA825F" w14:textId="77777777" w:rsidTr="00A87002">
        <w:tc>
          <w:tcPr>
            <w:tcW w:w="5035" w:type="dxa"/>
            <w:shd w:val="clear" w:color="auto" w:fill="EAF6FC"/>
          </w:tcPr>
          <w:p w14:paraId="7565F1C0" w14:textId="77777777" w:rsidR="00A036AC" w:rsidRPr="003716CC" w:rsidRDefault="00A036AC" w:rsidP="007D5177">
            <w:pPr>
              <w:rPr>
                <w:rFonts w:ascii="Aptos" w:hAnsi="Aptos" w:cs="Cambria"/>
                <w:sz w:val="20"/>
              </w:rPr>
            </w:pPr>
            <w:r w:rsidRPr="003716CC">
              <w:rPr>
                <w:rFonts w:ascii="Aptos" w:hAnsi="Aptos" w:cs="Cambria"/>
                <w:sz w:val="20"/>
              </w:rPr>
              <w:t>Site Visit Team Comments</w:t>
            </w:r>
          </w:p>
          <w:p w14:paraId="62F84636" w14:textId="77777777" w:rsidR="00A036AC" w:rsidRPr="003716CC" w:rsidRDefault="00A036AC" w:rsidP="007D5177">
            <w:pPr>
              <w:rPr>
                <w:rFonts w:ascii="Aptos" w:hAnsi="Aptos"/>
                <w:sz w:val="20"/>
              </w:rPr>
            </w:pPr>
          </w:p>
        </w:tc>
      </w:tr>
      <w:tr w:rsidR="00A036AC" w:rsidRPr="006E21E4" w14:paraId="528AA1C9" w14:textId="77777777" w:rsidTr="00A87002">
        <w:tc>
          <w:tcPr>
            <w:tcW w:w="5035" w:type="dxa"/>
          </w:tcPr>
          <w:p w14:paraId="4D5860E9" w14:textId="77777777" w:rsidR="00A036AC" w:rsidRPr="00D22510" w:rsidRDefault="00A036AC" w:rsidP="00E0086F">
            <w:pPr>
              <w:pStyle w:val="ListParagraph"/>
              <w:numPr>
                <w:ilvl w:val="0"/>
                <w:numId w:val="17"/>
              </w:numPr>
              <w:rPr>
                <w:rFonts w:ascii="Aptos" w:hAnsi="Aptos" w:cs="Arial"/>
                <w:b/>
                <w:bCs/>
                <w:iCs/>
                <w:sz w:val="20"/>
              </w:rPr>
            </w:pPr>
            <w:r w:rsidRPr="00D22510">
              <w:rPr>
                <w:rFonts w:ascii="Aptos" w:hAnsi="Aptos" w:cs="Arial"/>
                <w:iCs/>
                <w:sz w:val="20"/>
              </w:rPr>
              <w:t xml:space="preserve">The organization has appropriate policies and practices for supporting and protecting students concerning such matters as equality and diversity, anti bullying, disability, gender, race, sexual orientation, and the handling of complaints regarding sexual harassment and assault.  </w:t>
            </w:r>
          </w:p>
        </w:tc>
      </w:tr>
      <w:tr w:rsidR="00A036AC" w:rsidRPr="006E21E4" w14:paraId="2EDC0AB9" w14:textId="77777777" w:rsidTr="00A87002">
        <w:tc>
          <w:tcPr>
            <w:tcW w:w="5035" w:type="dxa"/>
            <w:shd w:val="clear" w:color="auto" w:fill="EAF6FC"/>
          </w:tcPr>
          <w:p w14:paraId="2B6D7F60" w14:textId="77777777" w:rsidR="00A036AC" w:rsidRPr="003716CC" w:rsidRDefault="00A036AC" w:rsidP="007D5177">
            <w:pPr>
              <w:rPr>
                <w:rFonts w:ascii="Aptos" w:hAnsi="Aptos" w:cs="Cambria"/>
                <w:sz w:val="20"/>
              </w:rPr>
            </w:pPr>
            <w:r w:rsidRPr="003716CC">
              <w:rPr>
                <w:rFonts w:ascii="Aptos" w:hAnsi="Aptos" w:cs="Cambria"/>
                <w:sz w:val="20"/>
              </w:rPr>
              <w:t>Site Visit Team Comments</w:t>
            </w:r>
          </w:p>
          <w:p w14:paraId="22BC5A2C" w14:textId="77777777" w:rsidR="00A036AC" w:rsidRPr="003716CC" w:rsidRDefault="00A036AC" w:rsidP="007D5177">
            <w:pPr>
              <w:rPr>
                <w:rFonts w:ascii="Aptos" w:hAnsi="Aptos" w:cs="Arial"/>
                <w:iCs/>
                <w:sz w:val="20"/>
              </w:rPr>
            </w:pPr>
          </w:p>
        </w:tc>
      </w:tr>
      <w:tr w:rsidR="00A036AC" w:rsidRPr="006E21E4" w14:paraId="3267E32C" w14:textId="77777777" w:rsidTr="00A87002">
        <w:tc>
          <w:tcPr>
            <w:tcW w:w="5035" w:type="dxa"/>
          </w:tcPr>
          <w:p w14:paraId="4A9432A6" w14:textId="77777777" w:rsidR="00A036AC" w:rsidRPr="00D22510" w:rsidRDefault="00A036AC" w:rsidP="00E0086F">
            <w:pPr>
              <w:pStyle w:val="ListParagraph"/>
              <w:numPr>
                <w:ilvl w:val="0"/>
                <w:numId w:val="17"/>
              </w:numPr>
              <w:rPr>
                <w:rFonts w:ascii="Aptos" w:hAnsi="Aptos" w:cs="Cambria"/>
                <w:b/>
                <w:bCs/>
                <w:sz w:val="20"/>
              </w:rPr>
            </w:pPr>
            <w:r w:rsidRPr="00D22510">
              <w:rPr>
                <w:rFonts w:ascii="Aptos" w:hAnsi="Aptos" w:cs="Cambria"/>
                <w:sz w:val="20"/>
              </w:rPr>
              <w:t xml:space="preserve">The organization demonstrates how existing and proposed programs relevant to the Truth and Reconciliation Commission’s Calls to Action (e.g., social work, health care, law, business, public administration, education), engage Indigenous peoples in the development, implementation, and ongoing quality assurance processes of the program and its content (Adapted from Revised 2024 DQAB).  </w:t>
            </w:r>
          </w:p>
        </w:tc>
      </w:tr>
      <w:tr w:rsidR="00A036AC" w:rsidRPr="006E21E4" w14:paraId="181085B1" w14:textId="77777777" w:rsidTr="00A87002">
        <w:tc>
          <w:tcPr>
            <w:tcW w:w="5035" w:type="dxa"/>
            <w:shd w:val="clear" w:color="auto" w:fill="EAF6FC"/>
          </w:tcPr>
          <w:p w14:paraId="5682D2CB" w14:textId="77777777" w:rsidR="00A036AC" w:rsidRPr="003716CC" w:rsidRDefault="00A036AC" w:rsidP="007D5177">
            <w:pPr>
              <w:rPr>
                <w:rFonts w:ascii="Aptos" w:hAnsi="Aptos" w:cs="Cambria"/>
                <w:sz w:val="20"/>
              </w:rPr>
            </w:pPr>
            <w:r w:rsidRPr="003716CC">
              <w:rPr>
                <w:rFonts w:ascii="Aptos" w:hAnsi="Aptos" w:cs="Cambria"/>
                <w:sz w:val="20"/>
              </w:rPr>
              <w:t>Site Visit Team Comments</w:t>
            </w:r>
          </w:p>
          <w:p w14:paraId="73DD9E58" w14:textId="77777777" w:rsidR="00A036AC" w:rsidRPr="003716CC" w:rsidRDefault="00A036AC" w:rsidP="007D5177">
            <w:pPr>
              <w:rPr>
                <w:rFonts w:ascii="Aptos" w:hAnsi="Aptos" w:cs="Cambria"/>
                <w:sz w:val="20"/>
              </w:rPr>
            </w:pPr>
          </w:p>
        </w:tc>
      </w:tr>
      <w:tr w:rsidR="00A036AC" w:rsidRPr="006E21E4" w14:paraId="1C0CD159" w14:textId="77777777" w:rsidTr="00A87002">
        <w:tc>
          <w:tcPr>
            <w:tcW w:w="5035" w:type="dxa"/>
          </w:tcPr>
          <w:p w14:paraId="4CE5842F" w14:textId="77777777" w:rsidR="00A036AC" w:rsidRPr="00D22510" w:rsidRDefault="00A036AC" w:rsidP="00E0086F">
            <w:pPr>
              <w:pStyle w:val="ListParagraph"/>
              <w:numPr>
                <w:ilvl w:val="0"/>
                <w:numId w:val="17"/>
              </w:numPr>
              <w:rPr>
                <w:rFonts w:ascii="Aptos" w:hAnsi="Aptos" w:cs="Cambria"/>
                <w:b/>
                <w:bCs/>
                <w:sz w:val="20"/>
              </w:rPr>
            </w:pPr>
            <w:r w:rsidRPr="00D22510">
              <w:rPr>
                <w:rFonts w:ascii="Aptos" w:hAnsi="Aptos" w:cs="Cambria"/>
                <w:sz w:val="20"/>
              </w:rPr>
              <w:t xml:space="preserve">If not included under Standard 3 and/or Standard 4, the organization describes how it ensures that Faculty whose work (teaching and/or research) involves Indigenous Peoples have agreements with them that uphold Indigenous data collection processes and collaborative research design and include principles of ownership, control, access, and protection to avoid cultural appropriation (OCAP®) (Adapted from Revised 2024 DQAB). </w:t>
            </w:r>
          </w:p>
        </w:tc>
      </w:tr>
      <w:tr w:rsidR="00A036AC" w:rsidRPr="006E21E4" w14:paraId="5FA6A3B0" w14:textId="77777777" w:rsidTr="00A87002">
        <w:tc>
          <w:tcPr>
            <w:tcW w:w="5035" w:type="dxa"/>
            <w:shd w:val="clear" w:color="auto" w:fill="EAF6FC"/>
          </w:tcPr>
          <w:p w14:paraId="32C807BE" w14:textId="77777777" w:rsidR="00A036AC" w:rsidRPr="003716CC" w:rsidRDefault="00A036AC" w:rsidP="007D5177">
            <w:pPr>
              <w:rPr>
                <w:rFonts w:ascii="Aptos" w:hAnsi="Aptos" w:cs="Cambria"/>
                <w:sz w:val="20"/>
              </w:rPr>
            </w:pPr>
            <w:r w:rsidRPr="003716CC">
              <w:rPr>
                <w:rFonts w:ascii="Aptos" w:hAnsi="Aptos" w:cs="Cambria"/>
                <w:sz w:val="20"/>
              </w:rPr>
              <w:t>Site Visit Team Comments</w:t>
            </w:r>
          </w:p>
          <w:p w14:paraId="3EDDD7A5" w14:textId="77777777" w:rsidR="00A036AC" w:rsidRPr="003716CC" w:rsidRDefault="00A036AC" w:rsidP="007D5177">
            <w:pPr>
              <w:rPr>
                <w:rFonts w:ascii="Aptos" w:hAnsi="Aptos" w:cs="Cambria"/>
                <w:sz w:val="20"/>
              </w:rPr>
            </w:pPr>
          </w:p>
        </w:tc>
      </w:tr>
      <w:tr w:rsidR="00A036AC" w:rsidRPr="006E21E4" w14:paraId="0D403817" w14:textId="77777777" w:rsidTr="00A87002">
        <w:tc>
          <w:tcPr>
            <w:tcW w:w="5035" w:type="dxa"/>
          </w:tcPr>
          <w:p w14:paraId="16E29379" w14:textId="77777777" w:rsidR="00A036AC" w:rsidRPr="00D22510" w:rsidRDefault="00A036AC" w:rsidP="00E0086F">
            <w:pPr>
              <w:pStyle w:val="ListParagraph"/>
              <w:numPr>
                <w:ilvl w:val="0"/>
                <w:numId w:val="17"/>
              </w:numPr>
              <w:rPr>
                <w:rFonts w:ascii="Aptos" w:hAnsi="Aptos" w:cs="Cambria"/>
                <w:b/>
                <w:bCs/>
                <w:sz w:val="20"/>
              </w:rPr>
            </w:pPr>
            <w:r w:rsidRPr="00D22510">
              <w:rPr>
                <w:rFonts w:ascii="Aptos" w:hAnsi="Aptos" w:cs="Cambria"/>
                <w:sz w:val="20"/>
              </w:rPr>
              <w:t xml:space="preserve">If not included under Standard 2, the organization demonstrates the supports and resources provided for traditionally underrepresented students promoting their admission, retention, and success.  </w:t>
            </w:r>
          </w:p>
        </w:tc>
      </w:tr>
      <w:tr w:rsidR="00A036AC" w:rsidRPr="006E21E4" w14:paraId="0BD7F616" w14:textId="77777777" w:rsidTr="00A87002">
        <w:tc>
          <w:tcPr>
            <w:tcW w:w="5035" w:type="dxa"/>
            <w:shd w:val="clear" w:color="auto" w:fill="EAF6FC"/>
          </w:tcPr>
          <w:p w14:paraId="73B4877E" w14:textId="77777777" w:rsidR="00A036AC" w:rsidRPr="003716CC" w:rsidRDefault="00A036AC" w:rsidP="007D5177">
            <w:pPr>
              <w:rPr>
                <w:rFonts w:ascii="Aptos" w:hAnsi="Aptos" w:cs="Cambria"/>
                <w:sz w:val="20"/>
              </w:rPr>
            </w:pPr>
            <w:r w:rsidRPr="003716CC">
              <w:rPr>
                <w:rFonts w:ascii="Aptos" w:hAnsi="Aptos" w:cs="Cambria"/>
                <w:sz w:val="20"/>
              </w:rPr>
              <w:t>Site Visit Team Comments</w:t>
            </w:r>
          </w:p>
          <w:p w14:paraId="6FBEF55D" w14:textId="77777777" w:rsidR="00A036AC" w:rsidRPr="003716CC" w:rsidRDefault="00A036AC" w:rsidP="007D5177">
            <w:pPr>
              <w:rPr>
                <w:rFonts w:ascii="Aptos" w:hAnsi="Aptos" w:cs="Cambria"/>
                <w:sz w:val="20"/>
              </w:rPr>
            </w:pPr>
          </w:p>
        </w:tc>
      </w:tr>
      <w:tr w:rsidR="00A036AC" w:rsidRPr="006E21E4" w14:paraId="17C58CF5" w14:textId="77777777" w:rsidTr="00A87002">
        <w:tc>
          <w:tcPr>
            <w:tcW w:w="5035" w:type="dxa"/>
          </w:tcPr>
          <w:p w14:paraId="770862DC" w14:textId="77777777" w:rsidR="00A036AC" w:rsidRPr="00D22510" w:rsidRDefault="00A036AC" w:rsidP="00E0086F">
            <w:pPr>
              <w:pStyle w:val="ListParagraph"/>
              <w:numPr>
                <w:ilvl w:val="0"/>
                <w:numId w:val="17"/>
              </w:numPr>
              <w:rPr>
                <w:rFonts w:ascii="Aptos" w:hAnsi="Aptos" w:cs="Cambria"/>
                <w:b/>
                <w:bCs/>
                <w:sz w:val="20"/>
              </w:rPr>
            </w:pPr>
            <w:r w:rsidRPr="00D22510">
              <w:rPr>
                <w:rFonts w:ascii="Aptos" w:hAnsi="Aptos" w:cs="Cambria"/>
                <w:sz w:val="20"/>
              </w:rPr>
              <w:t xml:space="preserve">If not detailed under Standard 2, the organization describes how applications from qualified people from traditionally underrepresented groups are encouraged for faculty and staff positions within the context of relevant legislation and the Alberta Human Rights Act (Adapted from 2024 BC DQAB Handbook). </w:t>
            </w:r>
          </w:p>
        </w:tc>
      </w:tr>
      <w:tr w:rsidR="00A036AC" w:rsidRPr="006E21E4" w14:paraId="108D4C05" w14:textId="77777777" w:rsidTr="00A87002">
        <w:tc>
          <w:tcPr>
            <w:tcW w:w="5035" w:type="dxa"/>
            <w:shd w:val="clear" w:color="auto" w:fill="EAF6FC"/>
          </w:tcPr>
          <w:p w14:paraId="10BD5060" w14:textId="77777777" w:rsidR="00A036AC" w:rsidRPr="003716CC" w:rsidRDefault="00A036AC" w:rsidP="007D5177">
            <w:pPr>
              <w:rPr>
                <w:rFonts w:ascii="Aptos" w:hAnsi="Aptos" w:cs="Cambria"/>
                <w:sz w:val="20"/>
              </w:rPr>
            </w:pPr>
            <w:r w:rsidRPr="003716CC">
              <w:rPr>
                <w:rFonts w:ascii="Aptos" w:hAnsi="Aptos" w:cs="Cambria"/>
                <w:sz w:val="20"/>
              </w:rPr>
              <w:t>Site Visit Team Comments</w:t>
            </w:r>
          </w:p>
          <w:p w14:paraId="49C11D49" w14:textId="77777777" w:rsidR="00A036AC" w:rsidRPr="003716CC" w:rsidRDefault="00A036AC" w:rsidP="007D5177">
            <w:pPr>
              <w:rPr>
                <w:rFonts w:ascii="Aptos" w:hAnsi="Aptos" w:cs="Cambria"/>
                <w:b/>
                <w:bCs/>
                <w:sz w:val="20"/>
              </w:rPr>
            </w:pPr>
          </w:p>
        </w:tc>
      </w:tr>
    </w:tbl>
    <w:p w14:paraId="17AA0EC5" w14:textId="77777777" w:rsidR="00A036AC" w:rsidRPr="006E21E4" w:rsidRDefault="00A036AC" w:rsidP="00A036AC">
      <w:pPr>
        <w:autoSpaceDE w:val="0"/>
        <w:autoSpaceDN w:val="0"/>
        <w:adjustRightInd w:val="0"/>
        <w:rPr>
          <w:rFonts w:ascii="Aptos" w:hAnsi="Aptos" w:cs="Cambria"/>
          <w:kern w:val="0"/>
          <w:sz w:val="20"/>
          <w:szCs w:val="20"/>
        </w:rPr>
        <w:sectPr w:rsidR="00A036AC" w:rsidRPr="006E21E4" w:rsidSect="00A036AC">
          <w:headerReference w:type="default" r:id="rId11"/>
          <w:footerReference w:type="even" r:id="rId12"/>
          <w:footerReference w:type="default" r:id="rId13"/>
          <w:footerReference w:type="first" r:id="rId14"/>
          <w:pgSz w:w="12240" w:h="15840"/>
          <w:pgMar w:top="1440" w:right="1080" w:bottom="1440" w:left="1080" w:header="708" w:footer="708" w:gutter="0"/>
          <w:cols w:space="708"/>
          <w:docGrid w:linePitch="360"/>
        </w:sectPr>
      </w:pPr>
    </w:p>
    <w:p w14:paraId="4FF4490E" w14:textId="77777777" w:rsidR="00B3604A" w:rsidRDefault="00B3604A" w:rsidP="00B3604A">
      <w:pPr>
        <w:pStyle w:val="Heading1"/>
        <w:numPr>
          <w:ilvl w:val="0"/>
          <w:numId w:val="0"/>
        </w:numPr>
        <w:ind w:left="448" w:hanging="448"/>
      </w:pPr>
      <w:r w:rsidRPr="00B3604A">
        <w:lastRenderedPageBreak/>
        <w:t>Appendix</w:t>
      </w:r>
      <w:r w:rsidRPr="0053703C">
        <w:t xml:space="preserve"> A</w:t>
      </w:r>
      <w:r>
        <w:t xml:space="preserve">: Collated </w:t>
      </w:r>
      <w:r w:rsidRPr="0053703C">
        <w:t>Conditions and Recommendations</w:t>
      </w:r>
    </w:p>
    <w:p w14:paraId="0B152B95" w14:textId="747FDE2F" w:rsidR="00247C4A" w:rsidRDefault="00B3604A" w:rsidP="00B3604A">
      <w:pPr>
        <w:rPr>
          <w:i/>
          <w:iCs/>
        </w:rPr>
      </w:pPr>
      <w:r>
        <w:rPr>
          <w:i/>
          <w:iCs/>
        </w:rPr>
        <w:t>Collect all Conditions and Recommendations in this Append</w:t>
      </w:r>
      <w:r w:rsidR="004016DE">
        <w:rPr>
          <w:i/>
          <w:iCs/>
        </w:rPr>
        <w:t xml:space="preserve">ix. </w:t>
      </w:r>
    </w:p>
    <w:p w14:paraId="6D8BD442" w14:textId="77777777" w:rsidR="004016DE" w:rsidRDefault="004016DE" w:rsidP="00B3604A">
      <w:pPr>
        <w:rPr>
          <w:i/>
          <w:iCs/>
        </w:rPr>
      </w:pPr>
    </w:p>
    <w:p w14:paraId="6BEB4466" w14:textId="77777777" w:rsidR="002D5731" w:rsidRDefault="002D5731">
      <w:pPr>
        <w:ind w:left="357"/>
        <w:rPr>
          <w:i/>
          <w:iCs/>
        </w:rPr>
      </w:pPr>
      <w:r>
        <w:rPr>
          <w:i/>
          <w:iCs/>
        </w:rPr>
        <w:br w:type="page"/>
      </w:r>
    </w:p>
    <w:p w14:paraId="3F3FC46D" w14:textId="2BE42EFC" w:rsidR="004016DE" w:rsidRDefault="004016DE" w:rsidP="002D5731">
      <w:pPr>
        <w:pStyle w:val="Heading1"/>
        <w:numPr>
          <w:ilvl w:val="0"/>
          <w:numId w:val="0"/>
        </w:numPr>
        <w:ind w:left="448" w:hanging="448"/>
      </w:pPr>
      <w:r>
        <w:lastRenderedPageBreak/>
        <w:t>Appendix B: Site Visit Schedule</w:t>
      </w:r>
    </w:p>
    <w:p w14:paraId="41B3ABFE" w14:textId="77777777" w:rsidR="002D5731" w:rsidRPr="002D5731" w:rsidRDefault="002D5731" w:rsidP="002D5731"/>
    <w:p w14:paraId="0E466425" w14:textId="7DC2F05A" w:rsidR="004016DE" w:rsidRPr="00B3604A" w:rsidRDefault="004016DE" w:rsidP="00B3604A">
      <w:pPr>
        <w:rPr>
          <w:i/>
          <w:iCs/>
        </w:rPr>
      </w:pPr>
      <w:r>
        <w:rPr>
          <w:i/>
          <w:iCs/>
        </w:rPr>
        <w:t xml:space="preserve">Append the Site Visit Schedule to this report. </w:t>
      </w:r>
    </w:p>
    <w:p w14:paraId="0ACE8AC1" w14:textId="77777777" w:rsidR="002372FE" w:rsidRPr="00DC3B52" w:rsidRDefault="002372FE" w:rsidP="002E230C">
      <w:pPr>
        <w:spacing w:after="240"/>
      </w:pPr>
    </w:p>
    <w:sectPr w:rsidR="002372FE" w:rsidRPr="00DC3B52">
      <w:headerReference w:type="even" r:id="rId15"/>
      <w:headerReference w:type="default" r:id="rId16"/>
      <w:footerReference w:type="even" r:id="rId17"/>
      <w:footerReference w:type="defaul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5299" w14:textId="77777777" w:rsidR="00E75CC7" w:rsidRDefault="00E75CC7" w:rsidP="002A5C1C">
      <w:r>
        <w:separator/>
      </w:r>
    </w:p>
  </w:endnote>
  <w:endnote w:type="continuationSeparator" w:id="0">
    <w:p w14:paraId="51A9DAB2" w14:textId="77777777" w:rsidR="00E75CC7" w:rsidRDefault="00E75CC7"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87D5" w14:textId="77777777" w:rsidR="00A036AC" w:rsidRDefault="00A036AC">
    <w:pPr>
      <w:pStyle w:val="Footer"/>
    </w:pPr>
    <w:r>
      <w:rPr>
        <w:noProof/>
      </w:rPr>
      <mc:AlternateContent>
        <mc:Choice Requires="wps">
          <w:drawing>
            <wp:anchor distT="0" distB="0" distL="0" distR="0" simplePos="0" relativeHeight="251663360" behindDoc="0" locked="0" layoutInCell="1" allowOverlap="1" wp14:anchorId="787AB0F4" wp14:editId="15E37DB3">
              <wp:simplePos x="635" y="635"/>
              <wp:positionH relativeFrom="page">
                <wp:align>left</wp:align>
              </wp:positionH>
              <wp:positionV relativeFrom="page">
                <wp:align>bottom</wp:align>
              </wp:positionV>
              <wp:extent cx="443865" cy="443865"/>
              <wp:effectExtent l="0" t="0" r="6350" b="0"/>
              <wp:wrapNone/>
              <wp:docPr id="351591583"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AD0886" w14:textId="77777777" w:rsidR="00A036AC" w:rsidRPr="00880B93" w:rsidRDefault="00A036AC" w:rsidP="00880B93">
                          <w:pPr>
                            <w:rPr>
                              <w:rFonts w:ascii="Calibri" w:eastAsia="Calibri" w:hAnsi="Calibri" w:cs="Calibri"/>
                              <w:noProof/>
                              <w:color w:val="000000"/>
                            </w:rPr>
                          </w:pPr>
                          <w:r w:rsidRPr="00880B93">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7AB0F4" id="_x0000_t202" coordsize="21600,21600" o:spt="202" path="m,l,21600r21600,l21600,xe">
              <v:stroke joinstyle="miter"/>
              <v:path gradientshapeok="t" o:connecttype="rect"/>
            </v:shapetype>
            <v:shape id="Text Box 2" o:spid="_x0000_s1027" type="#_x0000_t202" alt="Classification: Protected A"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3AD0886" w14:textId="77777777" w:rsidR="00A036AC" w:rsidRPr="00880B93" w:rsidRDefault="00A036AC" w:rsidP="00880B93">
                    <w:pPr>
                      <w:rPr>
                        <w:rFonts w:ascii="Calibri" w:eastAsia="Calibri" w:hAnsi="Calibri" w:cs="Calibri"/>
                        <w:noProof/>
                        <w:color w:val="000000"/>
                      </w:rPr>
                    </w:pPr>
                    <w:r w:rsidRPr="00880B93">
                      <w:rPr>
                        <w:rFonts w:ascii="Calibri" w:eastAsia="Calibri" w:hAnsi="Calibri" w:cs="Calibri"/>
                        <w:noProof/>
                        <w:color w:val="000000"/>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3D6F" w14:textId="77777777" w:rsidR="00A036AC" w:rsidRDefault="00A036AC">
    <w:pPr>
      <w:pStyle w:val="Footer"/>
    </w:pPr>
    <w:r>
      <w:rPr>
        <w:noProof/>
      </w:rPr>
      <mc:AlternateContent>
        <mc:Choice Requires="wps">
          <w:drawing>
            <wp:anchor distT="0" distB="0" distL="0" distR="0" simplePos="0" relativeHeight="251664384" behindDoc="0" locked="0" layoutInCell="1" allowOverlap="1" wp14:anchorId="5359F5A5" wp14:editId="3D31AEEE">
              <wp:simplePos x="914400" y="9436100"/>
              <wp:positionH relativeFrom="page">
                <wp:align>left</wp:align>
              </wp:positionH>
              <wp:positionV relativeFrom="page">
                <wp:align>bottom</wp:align>
              </wp:positionV>
              <wp:extent cx="443865" cy="443865"/>
              <wp:effectExtent l="0" t="0" r="6350" b="0"/>
              <wp:wrapNone/>
              <wp:docPr id="1212982926" name="Text Box 3"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2CEECC" w14:textId="77777777" w:rsidR="00A036AC" w:rsidRPr="00880B93" w:rsidRDefault="00A036AC" w:rsidP="00880B93">
                          <w:pPr>
                            <w:rPr>
                              <w:rFonts w:ascii="Calibri" w:eastAsia="Calibri" w:hAnsi="Calibri" w:cs="Calibri"/>
                              <w:noProof/>
                              <w:color w:val="000000"/>
                            </w:rPr>
                          </w:pPr>
                          <w:r w:rsidRPr="00880B93">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59F5A5" id="_x0000_t202" coordsize="21600,21600" o:spt="202" path="m,l,21600r21600,l21600,xe">
              <v:stroke joinstyle="miter"/>
              <v:path gradientshapeok="t" o:connecttype="rect"/>
            </v:shapetype>
            <v:shape id="Text Box 3" o:spid="_x0000_s1028" type="#_x0000_t202" alt="Classification: Protected A"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02CEECC" w14:textId="77777777" w:rsidR="00A036AC" w:rsidRPr="00880B93" w:rsidRDefault="00A036AC" w:rsidP="00880B93">
                    <w:pPr>
                      <w:rPr>
                        <w:rFonts w:ascii="Calibri" w:eastAsia="Calibri" w:hAnsi="Calibri" w:cs="Calibri"/>
                        <w:noProof/>
                        <w:color w:val="000000"/>
                      </w:rPr>
                    </w:pPr>
                    <w:r w:rsidRPr="00880B93">
                      <w:rPr>
                        <w:rFonts w:ascii="Calibri" w:eastAsia="Calibri" w:hAnsi="Calibri" w:cs="Calibri"/>
                        <w:noProof/>
                        <w:color w:val="000000"/>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9058" w14:textId="77777777" w:rsidR="00A036AC" w:rsidRDefault="00A036AC">
    <w:pPr>
      <w:pStyle w:val="Footer"/>
    </w:pPr>
    <w:r>
      <w:rPr>
        <w:noProof/>
      </w:rPr>
      <mc:AlternateContent>
        <mc:Choice Requires="wps">
          <w:drawing>
            <wp:anchor distT="0" distB="0" distL="0" distR="0" simplePos="0" relativeHeight="251662336" behindDoc="0" locked="0" layoutInCell="1" allowOverlap="1" wp14:anchorId="3610C132" wp14:editId="3BD061BF">
              <wp:simplePos x="635" y="635"/>
              <wp:positionH relativeFrom="page">
                <wp:align>left</wp:align>
              </wp:positionH>
              <wp:positionV relativeFrom="page">
                <wp:align>bottom</wp:align>
              </wp:positionV>
              <wp:extent cx="443865" cy="443865"/>
              <wp:effectExtent l="0" t="0" r="6350" b="0"/>
              <wp:wrapNone/>
              <wp:docPr id="1752363090"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1D416" w14:textId="77777777" w:rsidR="00A036AC" w:rsidRPr="00880B93" w:rsidRDefault="00A036AC" w:rsidP="00880B93">
                          <w:pPr>
                            <w:rPr>
                              <w:rFonts w:ascii="Calibri" w:eastAsia="Calibri" w:hAnsi="Calibri" w:cs="Calibri"/>
                              <w:noProof/>
                              <w:color w:val="000000"/>
                            </w:rPr>
                          </w:pPr>
                          <w:r w:rsidRPr="00880B93">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10C132" id="_x0000_t202" coordsize="21600,21600" o:spt="202" path="m,l,21600r21600,l21600,xe">
              <v:stroke joinstyle="miter"/>
              <v:path gradientshapeok="t" o:connecttype="rect"/>
            </v:shapetype>
            <v:shape id="Text Box 1" o:spid="_x0000_s1029" type="#_x0000_t202" alt="Classification: Protected A"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46D1D416" w14:textId="77777777" w:rsidR="00A036AC" w:rsidRPr="00880B93" w:rsidRDefault="00A036AC" w:rsidP="00880B93">
                    <w:pPr>
                      <w:rPr>
                        <w:rFonts w:ascii="Calibri" w:eastAsia="Calibri" w:hAnsi="Calibri" w:cs="Calibri"/>
                        <w:noProof/>
                        <w:color w:val="000000"/>
                      </w:rPr>
                    </w:pPr>
                    <w:r w:rsidRPr="00880B93">
                      <w:rPr>
                        <w:rFonts w:ascii="Calibri" w:eastAsia="Calibri" w:hAnsi="Calibri" w:cs="Calibri"/>
                        <w:noProof/>
                        <w:color w:val="000000"/>
                      </w:rPr>
                      <w:t>Classification: Protected A</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_x0000_s1030"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3522" w14:textId="151566E5" w:rsidR="00EF0633" w:rsidRPr="00EE70AE" w:rsidRDefault="00EE70AE" w:rsidP="00EE70AE">
    <w:pPr>
      <w:pStyle w:val="Footer"/>
      <w:rPr>
        <w:sz w:val="20"/>
        <w:szCs w:val="20"/>
      </w:rPr>
    </w:pPr>
    <w:r w:rsidRPr="00DA0737">
      <w:rPr>
        <w:sz w:val="20"/>
        <w:szCs w:val="20"/>
      </w:rPr>
      <w:t xml:space="preserve">CAQC </w:t>
    </w:r>
    <w:r w:rsidR="005221F5">
      <w:rPr>
        <w:sz w:val="20"/>
        <w:szCs w:val="20"/>
      </w:rPr>
      <w:t>Organizational Evaluation Site Visit Team Report</w:t>
    </w:r>
    <w:r w:rsidRPr="00DA0737">
      <w:rPr>
        <w:sz w:val="20"/>
        <w:szCs w:val="20"/>
      </w:rPr>
      <w:t xml:space="preserve"> Template – v1 (June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_x0000_s1031"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CHNqU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60AB" w14:textId="77777777" w:rsidR="00E75CC7" w:rsidRDefault="00E75CC7" w:rsidP="002A5C1C">
      <w:r>
        <w:separator/>
      </w:r>
    </w:p>
  </w:footnote>
  <w:footnote w:type="continuationSeparator" w:id="0">
    <w:p w14:paraId="414E698B" w14:textId="77777777" w:rsidR="00E75CC7" w:rsidRDefault="00E75CC7"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30DF" w14:textId="77777777" w:rsidR="00A036AC" w:rsidRDefault="00A036AC">
    <w:pPr>
      <w:pStyle w:val="Header"/>
    </w:pPr>
    <w:r>
      <w:rPr>
        <w:noProof/>
      </w:rPr>
      <mc:AlternateContent>
        <mc:Choice Requires="wps">
          <w:drawing>
            <wp:anchor distT="0" distB="0" distL="114300" distR="114300" simplePos="0" relativeHeight="251661312" behindDoc="0" locked="0" layoutInCell="0" allowOverlap="1" wp14:anchorId="4ADDDB1D" wp14:editId="3C2BD442">
              <wp:simplePos x="0" y="0"/>
              <wp:positionH relativeFrom="margin">
                <wp:align>left</wp:align>
              </wp:positionH>
              <wp:positionV relativeFrom="topMargin">
                <wp:align>center</wp:align>
              </wp:positionV>
              <wp:extent cx="5943600" cy="170815"/>
              <wp:effectExtent l="0" t="0" r="0" b="1905"/>
              <wp:wrapNone/>
              <wp:docPr id="21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ptos" w:hAnsi="Aptos"/>
                              <w:sz w:val="18"/>
                              <w:szCs w:val="18"/>
                            </w:r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720562D2" w14:textId="77777777" w:rsidR="00A036AC" w:rsidRPr="007A4609" w:rsidRDefault="00A036AC">
                              <w:pPr>
                                <w:rPr>
                                  <w:rFonts w:ascii="Aptos" w:hAnsi="Aptos"/>
                                  <w:sz w:val="18"/>
                                  <w:szCs w:val="18"/>
                                </w:rPr>
                              </w:pPr>
                              <w:r>
                                <w:rPr>
                                  <w:rFonts w:ascii="Aptos" w:hAnsi="Aptos"/>
                                  <w:sz w:val="18"/>
                                  <w:szCs w:val="18"/>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ADDDB1D" id="_x0000_t202" coordsize="21600,21600" o:spt="202" path="m,l,21600r21600,l21600,xe">
              <v:stroke joinstyle="miter"/>
              <v:path gradientshapeok="t" o:connecttype="rect"/>
            </v:shapetype>
            <v:shape id="Text Box 68" o:spid="_x0000_s1026" type="#_x0000_t202" style="position:absolute;margin-left:0;margin-top:0;width:468pt;height:13.4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Aptos" w:hAnsi="Aptos"/>
                        <w:sz w:val="18"/>
                        <w:szCs w:val="18"/>
                      </w:r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14:paraId="720562D2" w14:textId="77777777" w:rsidR="00A036AC" w:rsidRPr="007A4609" w:rsidRDefault="00A036AC">
                        <w:pPr>
                          <w:rPr>
                            <w:rFonts w:ascii="Aptos" w:hAnsi="Aptos"/>
                            <w:sz w:val="18"/>
                            <w:szCs w:val="18"/>
                          </w:rPr>
                        </w:pPr>
                        <w:r>
                          <w:rPr>
                            <w:rFonts w:ascii="Aptos" w:hAnsi="Aptos"/>
                            <w:sz w:val="18"/>
                            <w:szCs w:val="18"/>
                          </w:rPr>
                          <w:t xml:space="preserve">     </w:t>
                        </w:r>
                      </w:p>
                    </w:sdtContent>
                  </w:sdt>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822E" w14:textId="77777777" w:rsidR="00EF0633" w:rsidRDefault="00EF0633">
    <w:pPr>
      <w:pStyle w:val="Header"/>
    </w:pPr>
  </w:p>
  <w:p w14:paraId="720E5D25" w14:textId="77777777" w:rsidR="00011005" w:rsidRDefault="00011005"/>
  <w:p w14:paraId="2DB36FAB" w14:textId="77777777" w:rsidR="00011005" w:rsidRDefault="000110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586A" w14:textId="023DE101" w:rsidR="00EF0633" w:rsidRPr="00EE70AE" w:rsidRDefault="00EF0633">
    <w:pPr>
      <w:pStyle w:val="Header"/>
      <w:jc w:val="right"/>
      <w:rPr>
        <w:sz w:val="20"/>
        <w:szCs w:val="20"/>
      </w:rPr>
    </w:pPr>
    <w:r w:rsidRPr="00EE70AE">
      <w:rPr>
        <w:sz w:val="20"/>
        <w:szCs w:val="20"/>
      </w:rPr>
      <w:t xml:space="preserve">CAQC </w:t>
    </w:r>
    <w:r w:rsidR="005221F5">
      <w:rPr>
        <w:sz w:val="20"/>
        <w:szCs w:val="20"/>
      </w:rPr>
      <w:t>Org Eval – SVT Report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p w14:paraId="2220419B" w14:textId="77777777" w:rsidR="00011005" w:rsidRDefault="00011005"/>
  <w:p w14:paraId="6A31C2CC" w14:textId="77777777" w:rsidR="00011005" w:rsidRDefault="000110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F4747C0"/>
    <w:multiLevelType w:val="hybridMultilevel"/>
    <w:tmpl w:val="99E8E1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9677D8"/>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2256DA"/>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E21217"/>
    <w:multiLevelType w:val="hybridMultilevel"/>
    <w:tmpl w:val="CC103D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62B6AB1"/>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B74C5B"/>
    <w:multiLevelType w:val="hybridMultilevel"/>
    <w:tmpl w:val="4188489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8497664"/>
    <w:multiLevelType w:val="hybridMultilevel"/>
    <w:tmpl w:val="7E586192"/>
    <w:lvl w:ilvl="0" w:tplc="B20615A0">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9070A16"/>
    <w:multiLevelType w:val="hybridMultilevel"/>
    <w:tmpl w:val="749E53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CB0ADD"/>
    <w:multiLevelType w:val="hybridMultilevel"/>
    <w:tmpl w:val="CFE294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D05301"/>
    <w:multiLevelType w:val="hybridMultilevel"/>
    <w:tmpl w:val="3384A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4DF624F4"/>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650E90"/>
    <w:multiLevelType w:val="multilevel"/>
    <w:tmpl w:val="F9360F46"/>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14" w15:restartNumberingAfterBreak="0">
    <w:nsid w:val="52997943"/>
    <w:multiLevelType w:val="hybridMultilevel"/>
    <w:tmpl w:val="5A2EF7AE"/>
    <w:lvl w:ilvl="0" w:tplc="B20615A0">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3F536A9"/>
    <w:multiLevelType w:val="hybridMultilevel"/>
    <w:tmpl w:val="83C49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1C5085"/>
    <w:multiLevelType w:val="hybridMultilevel"/>
    <w:tmpl w:val="8A962F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2FD40DD"/>
    <w:multiLevelType w:val="hybridMultilevel"/>
    <w:tmpl w:val="2E40BBAC"/>
    <w:lvl w:ilvl="0" w:tplc="AA226EB0">
      <w:start w:val="1"/>
      <w:numFmt w:val="decimal"/>
      <w:lvlText w:val="%1."/>
      <w:lvlJc w:val="left"/>
      <w:pPr>
        <w:ind w:left="720" w:hanging="360"/>
      </w:pPr>
      <w:rPr>
        <w:rFonts w:ascii="Aptos" w:eastAsiaTheme="minorHAnsi" w:hAnsi="Aptos"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75F6356"/>
    <w:multiLevelType w:val="hybridMultilevel"/>
    <w:tmpl w:val="00F64C0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AD6702F"/>
    <w:multiLevelType w:val="hybridMultilevel"/>
    <w:tmpl w:val="2612ED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B41596D"/>
    <w:multiLevelType w:val="hybridMultilevel"/>
    <w:tmpl w:val="D99AA1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7455E0C"/>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2F6D7F"/>
    <w:multiLevelType w:val="hybridMultilevel"/>
    <w:tmpl w:val="B27AA394"/>
    <w:lvl w:ilvl="0" w:tplc="B20615A0">
      <w:start w:val="1"/>
      <w:numFmt w:val="decimal"/>
      <w:lvlText w:val="%1."/>
      <w:lvlJc w:val="left"/>
      <w:pPr>
        <w:ind w:left="720" w:hanging="360"/>
      </w:pPr>
      <w:rPr>
        <w:b w:val="0"/>
        <w:bCs w:val="0"/>
      </w:rPr>
    </w:lvl>
    <w:lvl w:ilvl="1" w:tplc="91F87A66">
      <w:start w:val="1"/>
      <w:numFmt w:val="lowerLetter"/>
      <w:lvlText w:val="%2."/>
      <w:lvlJc w:val="left"/>
      <w:pPr>
        <w:ind w:left="1440" w:hanging="360"/>
      </w:pPr>
      <w:rPr>
        <w:b w:val="0"/>
        <w:bCs w:val="0"/>
      </w:rPr>
    </w:lvl>
    <w:lvl w:ilvl="2" w:tplc="EE52874A">
      <w:start w:val="6"/>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4414995">
    <w:abstractNumId w:val="0"/>
  </w:num>
  <w:num w:numId="2" w16cid:durableId="2043509937">
    <w:abstractNumId w:val="11"/>
  </w:num>
  <w:num w:numId="3" w16cid:durableId="1200433309">
    <w:abstractNumId w:val="13"/>
  </w:num>
  <w:num w:numId="4" w16cid:durableId="994841043">
    <w:abstractNumId w:val="20"/>
  </w:num>
  <w:num w:numId="5" w16cid:durableId="639573722">
    <w:abstractNumId w:val="9"/>
  </w:num>
  <w:num w:numId="6" w16cid:durableId="846671399">
    <w:abstractNumId w:val="16"/>
  </w:num>
  <w:num w:numId="7" w16cid:durableId="1164974616">
    <w:abstractNumId w:val="8"/>
  </w:num>
  <w:num w:numId="8" w16cid:durableId="1783693680">
    <w:abstractNumId w:val="14"/>
  </w:num>
  <w:num w:numId="9" w16cid:durableId="82531845">
    <w:abstractNumId w:val="10"/>
  </w:num>
  <w:num w:numId="10" w16cid:durableId="17175805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1278702">
    <w:abstractNumId w:val="18"/>
  </w:num>
  <w:num w:numId="12" w16cid:durableId="1814331167">
    <w:abstractNumId w:val="4"/>
  </w:num>
  <w:num w:numId="13" w16cid:durableId="405301463">
    <w:abstractNumId w:val="15"/>
  </w:num>
  <w:num w:numId="14" w16cid:durableId="1431927417">
    <w:abstractNumId w:val="7"/>
  </w:num>
  <w:num w:numId="15" w16cid:durableId="431127405">
    <w:abstractNumId w:val="19"/>
  </w:num>
  <w:num w:numId="16" w16cid:durableId="2005355781">
    <w:abstractNumId w:val="22"/>
  </w:num>
  <w:num w:numId="17" w16cid:durableId="1362317222">
    <w:abstractNumId w:val="17"/>
  </w:num>
  <w:num w:numId="18" w16cid:durableId="1646667118">
    <w:abstractNumId w:val="12"/>
  </w:num>
  <w:num w:numId="19" w16cid:durableId="1150563303">
    <w:abstractNumId w:val="5"/>
  </w:num>
  <w:num w:numId="20" w16cid:durableId="832179306">
    <w:abstractNumId w:val="3"/>
  </w:num>
  <w:num w:numId="21" w16cid:durableId="1678531209">
    <w:abstractNumId w:val="2"/>
  </w:num>
  <w:num w:numId="22" w16cid:durableId="839198550">
    <w:abstractNumId w:val="21"/>
  </w:num>
  <w:num w:numId="23" w16cid:durableId="1772579685">
    <w:abstractNumId w:val="1"/>
  </w:num>
  <w:num w:numId="24" w16cid:durableId="1246374841">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11005"/>
    <w:rsid w:val="000368C6"/>
    <w:rsid w:val="000417B7"/>
    <w:rsid w:val="00070370"/>
    <w:rsid w:val="000D02EF"/>
    <w:rsid w:val="000D571E"/>
    <w:rsid w:val="000E2516"/>
    <w:rsid w:val="000E39EB"/>
    <w:rsid w:val="000F6E04"/>
    <w:rsid w:val="0019155F"/>
    <w:rsid w:val="001C50FB"/>
    <w:rsid w:val="001F0A01"/>
    <w:rsid w:val="001F6850"/>
    <w:rsid w:val="0020475E"/>
    <w:rsid w:val="002333B4"/>
    <w:rsid w:val="002372FE"/>
    <w:rsid w:val="00237FB9"/>
    <w:rsid w:val="00247C4A"/>
    <w:rsid w:val="00265AC4"/>
    <w:rsid w:val="002A5C1C"/>
    <w:rsid w:val="002D5731"/>
    <w:rsid w:val="002E230C"/>
    <w:rsid w:val="003416AB"/>
    <w:rsid w:val="00361694"/>
    <w:rsid w:val="003645C3"/>
    <w:rsid w:val="00395B91"/>
    <w:rsid w:val="003A1A40"/>
    <w:rsid w:val="003C1158"/>
    <w:rsid w:val="003D4EC4"/>
    <w:rsid w:val="004016DE"/>
    <w:rsid w:val="00441DB6"/>
    <w:rsid w:val="00442B7D"/>
    <w:rsid w:val="00463BEA"/>
    <w:rsid w:val="00487FDF"/>
    <w:rsid w:val="004B06AA"/>
    <w:rsid w:val="004D7F35"/>
    <w:rsid w:val="004E3109"/>
    <w:rsid w:val="005016CC"/>
    <w:rsid w:val="00520747"/>
    <w:rsid w:val="005221F5"/>
    <w:rsid w:val="005706AA"/>
    <w:rsid w:val="00577D52"/>
    <w:rsid w:val="005921C0"/>
    <w:rsid w:val="00602F68"/>
    <w:rsid w:val="00662B95"/>
    <w:rsid w:val="00666CA0"/>
    <w:rsid w:val="006734B3"/>
    <w:rsid w:val="00680B8C"/>
    <w:rsid w:val="006F7ECA"/>
    <w:rsid w:val="00717AF5"/>
    <w:rsid w:val="00772476"/>
    <w:rsid w:val="007A1DEB"/>
    <w:rsid w:val="007E1304"/>
    <w:rsid w:val="007F3D9E"/>
    <w:rsid w:val="007F5947"/>
    <w:rsid w:val="007F5F17"/>
    <w:rsid w:val="007F5F70"/>
    <w:rsid w:val="00805284"/>
    <w:rsid w:val="00836DC4"/>
    <w:rsid w:val="00855B93"/>
    <w:rsid w:val="0087083C"/>
    <w:rsid w:val="00882683"/>
    <w:rsid w:val="00882E7E"/>
    <w:rsid w:val="008D19E9"/>
    <w:rsid w:val="008F3109"/>
    <w:rsid w:val="00996490"/>
    <w:rsid w:val="009A3566"/>
    <w:rsid w:val="009B0B69"/>
    <w:rsid w:val="009B0D3B"/>
    <w:rsid w:val="009B1DDC"/>
    <w:rsid w:val="009D1808"/>
    <w:rsid w:val="009F03FB"/>
    <w:rsid w:val="00A036AC"/>
    <w:rsid w:val="00A51E40"/>
    <w:rsid w:val="00A81B6E"/>
    <w:rsid w:val="00A87002"/>
    <w:rsid w:val="00AB1B94"/>
    <w:rsid w:val="00B01FD4"/>
    <w:rsid w:val="00B0515E"/>
    <w:rsid w:val="00B05B48"/>
    <w:rsid w:val="00B32500"/>
    <w:rsid w:val="00B3604A"/>
    <w:rsid w:val="00B36ECA"/>
    <w:rsid w:val="00B51C89"/>
    <w:rsid w:val="00B60967"/>
    <w:rsid w:val="00B71E52"/>
    <w:rsid w:val="00BB6DB5"/>
    <w:rsid w:val="00C05FF9"/>
    <w:rsid w:val="00C55F40"/>
    <w:rsid w:val="00C61349"/>
    <w:rsid w:val="00C6507C"/>
    <w:rsid w:val="00CE642B"/>
    <w:rsid w:val="00CF124E"/>
    <w:rsid w:val="00D53D1E"/>
    <w:rsid w:val="00D64AE9"/>
    <w:rsid w:val="00DA5844"/>
    <w:rsid w:val="00DB3B70"/>
    <w:rsid w:val="00DC3B52"/>
    <w:rsid w:val="00DD476B"/>
    <w:rsid w:val="00E0086F"/>
    <w:rsid w:val="00E15A65"/>
    <w:rsid w:val="00E30EFD"/>
    <w:rsid w:val="00E75CC7"/>
    <w:rsid w:val="00E97377"/>
    <w:rsid w:val="00ED6B65"/>
    <w:rsid w:val="00EE70AE"/>
    <w:rsid w:val="00EF0633"/>
    <w:rsid w:val="00F32B54"/>
    <w:rsid w:val="00F36D7A"/>
    <w:rsid w:val="00FA2CCB"/>
    <w:rsid w:val="00FC1B6F"/>
    <w:rsid w:val="00FE05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B60967"/>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B60967"/>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2"/>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table" w:styleId="GridTable4-Accent5">
    <w:name w:val="Grid Table 4 Accent 5"/>
    <w:basedOn w:val="TableNormal"/>
    <w:uiPriority w:val="49"/>
    <w:rsid w:val="007F3D9E"/>
    <w:pPr>
      <w:ind w:left="0"/>
    </w:pPr>
    <w:rPr>
      <w:rFonts w:asciiTheme="minorHAnsi" w:hAnsiTheme="minorHAnsi"/>
      <w:sz w:val="22"/>
      <w:szCs w:val="22"/>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1">
    <w:name w:val="Grid Table 4 Accent 1"/>
    <w:basedOn w:val="TableNormal"/>
    <w:uiPriority w:val="49"/>
    <w:rsid w:val="007F3D9E"/>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1Light-Accent5">
    <w:name w:val="Grid Table 1 Light Accent 5"/>
    <w:basedOn w:val="TableNormal"/>
    <w:uiPriority w:val="46"/>
    <w:rsid w:val="009D1808"/>
    <w:pPr>
      <w:ind w:left="0"/>
    </w:pPr>
    <w:rPr>
      <w:rFonts w:asciiTheme="minorHAnsi" w:hAnsiTheme="minorHAnsi"/>
      <w:sz w:val="22"/>
      <w:szCs w:val="22"/>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1158"/>
    <w:pPr>
      <w:ind w:left="0"/>
    </w:pPr>
    <w:rPr>
      <w:rFonts w:asciiTheme="minorHAnsi" w:hAnsiTheme="minorHAnsi"/>
      <w:sz w:val="22"/>
      <w:szCs w:val="22"/>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2372FE"/>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character" w:customStyle="1" w:styleId="eop">
    <w:name w:val="eop"/>
    <w:basedOn w:val="DefaultParagraphFont"/>
    <w:rsid w:val="002372FE"/>
  </w:style>
  <w:style w:type="character" w:customStyle="1" w:styleId="cf01">
    <w:name w:val="cf01"/>
    <w:basedOn w:val="DefaultParagraphFont"/>
    <w:rsid w:val="00A036A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2.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4.xml><?xml version="1.0" encoding="utf-8"?>
<ds:datastoreItem xmlns:ds="http://schemas.openxmlformats.org/officeDocument/2006/customXml" ds:itemID="{9A3B6AC2-B108-4F81-9E7B-3B1BF05F904F}">
  <ds:schemaRefs>
    <ds:schemaRef ds:uri="http://schemas.microsoft.com/office/2006/metadata/properties"/>
    <ds:schemaRef ds:uri="http://schemas.microsoft.com/office/2006/documentManagement/types"/>
    <ds:schemaRef ds:uri="69184a2e-f32c-4d9b-8c13-6bd6d9f25f43"/>
    <ds:schemaRef ds:uri="http://purl.org/dc/dcmitype/"/>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3200</Words>
  <Characters>18242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44</cp:revision>
  <dcterms:created xsi:type="dcterms:W3CDTF">2025-06-10T20:59:00Z</dcterms:created>
  <dcterms:modified xsi:type="dcterms:W3CDTF">2025-06-18T17:03:00Z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